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8"/>
          <w:szCs w:val="28"/>
        </w:rPr>
      </w:pPr>
      <w:r w:rsidDel="00000000" w:rsidR="00000000" w:rsidRPr="00000000">
        <w:rPr>
          <w:sz w:val="28"/>
          <w:szCs w:val="28"/>
          <w:rtl w:val="0"/>
        </w:rPr>
        <w:br w:type="textWrapping"/>
      </w:r>
      <w:r w:rsidDel="00000000" w:rsidR="00000000" w:rsidRPr="00000000">
        <w:rPr>
          <w:b w:val="1"/>
          <w:bCs w:val="1"/>
          <w:sz w:val="28"/>
          <w:szCs w:val="28"/>
          <w:rtl w:val="0"/>
        </w:rPr>
        <w:t xml:space="preserve">MESA DE TRABAJO Y DIÁLOGO SOBRE POLÍTICAS DE GÉNERO</w:t>
      </w:r>
    </w:p>
    <w:p w:rsidR="00000000" w:rsidDel="00000000" w:rsidP="00000000" w:rsidRDefault="00000000" w:rsidRPr="00000000" w14:paraId="00000002">
      <w:pPr>
        <w:pStyle w:val="Heading2"/>
        <w:keepNext w:val="0"/>
        <w:keepLines w:val="0"/>
        <w:spacing w:after="80" w:lineRule="auto"/>
        <w:jc w:val="center"/>
        <w:rPr>
          <w:b w:val="1"/>
          <w:bCs w:val="1"/>
          <w:sz w:val="28"/>
          <w:szCs w:val="28"/>
        </w:rPr>
      </w:pPr>
      <w:bookmarkStart w:colFirst="0" w:colLast="0" w:name="_327xreawtcxw" w:id="0"/>
      <w:bookmarkEnd w:id="0"/>
      <w:r w:rsidDel="00000000" w:rsidR="00000000" w:rsidRPr="00000000">
        <w:rPr>
          <w:b w:val="1"/>
          <w:bCs w:val="1"/>
          <w:sz w:val="28"/>
          <w:szCs w:val="28"/>
          <w:rtl w:val="0"/>
        </w:rPr>
        <w:t xml:space="preserve">CONSTITUIDA ANTE EL PROYECTO DE LEY DE “FALSAS DENUNCIAS”</w:t>
      </w:r>
    </w:p>
    <w:p w:rsidR="00000000" w:rsidDel="00000000" w:rsidP="00000000" w:rsidRDefault="00000000" w:rsidRPr="00000000" w14:paraId="00000003">
      <w:pPr>
        <w:pStyle w:val="Heading3"/>
        <w:keepNext w:val="0"/>
        <w:keepLines w:val="0"/>
        <w:spacing w:before="280" w:lineRule="auto"/>
        <w:jc w:val="center"/>
        <w:rPr>
          <w:b w:val="1"/>
          <w:bCs w:val="1"/>
          <w:color w:val="000000"/>
        </w:rPr>
      </w:pPr>
      <w:bookmarkStart w:colFirst="0" w:colLast="0" w:name="_vqg2w2ld83zj" w:id="1"/>
      <w:bookmarkEnd w:id="1"/>
      <w:r w:rsidDel="00000000" w:rsidR="00000000" w:rsidRPr="00000000">
        <w:rPr>
          <w:b w:val="1"/>
          <w:bCs w:val="1"/>
          <w:color w:val="000000"/>
          <w:rtl w:val="0"/>
        </w:rPr>
        <w:t xml:space="preserve">RESOLUCIÓN DE PRONUNCIAMIENTO COLECTIVO</w:t>
      </w:r>
    </w:p>
    <w:p w:rsidR="00000000" w:rsidDel="00000000" w:rsidP="00000000" w:rsidRDefault="00000000" w:rsidRPr="00000000" w14:paraId="00000004">
      <w:pPr>
        <w:spacing w:after="240" w:before="240" w:lineRule="auto"/>
        <w:jc w:val="right"/>
        <w:rPr>
          <w:b w:val="1"/>
          <w:bCs w:val="1"/>
          <w:sz w:val="28"/>
          <w:szCs w:val="28"/>
        </w:rPr>
      </w:pPr>
      <w:r w:rsidDel="00000000" w:rsidR="00000000" w:rsidRPr="00000000">
        <w:rPr>
          <w:b w:val="1"/>
          <w:bCs w:val="1"/>
          <w:sz w:val="28"/>
          <w:szCs w:val="28"/>
          <w:rtl w:val="0"/>
        </w:rPr>
        <w:t xml:space="preserve">Córdoba, abril de 2026</w:t>
      </w:r>
    </w:p>
    <w:p w:rsidR="00000000" w:rsidDel="00000000" w:rsidP="00000000" w:rsidRDefault="00000000" w:rsidRPr="00000000" w14:paraId="00000005">
      <w:pPr>
        <w:spacing w:after="240" w:before="240" w:lineRule="auto"/>
        <w:jc w:val="both"/>
        <w:rPr>
          <w:b w:val="1"/>
          <w:bCs w:val="1"/>
          <w:sz w:val="28"/>
          <w:szCs w:val="28"/>
        </w:rPr>
      </w:pPr>
      <w:r w:rsidDel="00000000" w:rsidR="00000000" w:rsidRPr="00000000">
        <w:rPr>
          <w:b w:val="1"/>
          <w:bCs w:val="1"/>
          <w:sz w:val="28"/>
          <w:szCs w:val="28"/>
          <w:rtl w:val="0"/>
        </w:rPr>
        <w:t xml:space="preserve">VISTO:</w:t>
      </w:r>
    </w:p>
    <w:p w:rsidR="00000000" w:rsidDel="00000000" w:rsidP="00000000" w:rsidRDefault="00000000" w:rsidRPr="00000000" w14:paraId="00000006">
      <w:pPr>
        <w:spacing w:after="240" w:before="240" w:lineRule="auto"/>
        <w:jc w:val="both"/>
        <w:rPr>
          <w:sz w:val="28"/>
          <w:szCs w:val="28"/>
        </w:rPr>
      </w:pPr>
      <w:r w:rsidDel="00000000" w:rsidR="00000000" w:rsidRPr="00000000">
        <w:rPr>
          <w:sz w:val="28"/>
          <w:szCs w:val="28"/>
          <w:rtl w:val="0"/>
        </w:rPr>
        <w:t xml:space="preserve">El proyecto de ley S-228/2025, que obtuvo dictamen favorable de la Comisión de Justicia y Asuntos Penales de la Honorable Cámara de Senadores de la Nación y propone modificar el Código Penal de la Nación agravando las figuras de falsa denuncia, falso testimonio y encubrimiento en supuestos vinculados con violencias de género, violencia familiar, delitos contra la integridad sexual y hechos que involucran a niñas, niños y adolescentes; y</w:t>
      </w:r>
    </w:p>
    <w:p w:rsidR="00000000" w:rsidDel="00000000" w:rsidP="00000000" w:rsidRDefault="00000000" w:rsidRPr="00000000" w14:paraId="00000007">
      <w:pPr>
        <w:spacing w:after="240" w:before="240" w:lineRule="auto"/>
        <w:jc w:val="both"/>
        <w:rPr>
          <w:sz w:val="28"/>
          <w:szCs w:val="28"/>
        </w:rPr>
      </w:pPr>
      <w:r w:rsidDel="00000000" w:rsidR="00000000" w:rsidRPr="00000000">
        <w:rPr>
          <w:sz w:val="28"/>
          <w:szCs w:val="28"/>
          <w:rtl w:val="0"/>
        </w:rPr>
        <w:t xml:space="preserve">Los aportes, observaciones, testimonios, argumentos jurídicos, institucionales, empíricos y políticos relevados en el marco de la Mesa de Trabajo y Diálogo sobre Políticas de Género, convocada en la ciudad de Córdoba para analizar el alcance, impacto y consecuencias de dicha iniciativa; y</w:t>
      </w:r>
    </w:p>
    <w:p w:rsidR="00000000" w:rsidDel="00000000" w:rsidP="00000000" w:rsidRDefault="00000000" w:rsidRPr="00000000" w14:paraId="00000008">
      <w:pPr>
        <w:spacing w:after="240" w:before="240" w:lineRule="auto"/>
        <w:jc w:val="both"/>
        <w:rPr>
          <w:b w:val="1"/>
          <w:bCs w:val="1"/>
          <w:sz w:val="28"/>
          <w:szCs w:val="28"/>
        </w:rPr>
      </w:pPr>
      <w:r w:rsidDel="00000000" w:rsidR="00000000" w:rsidRPr="00000000">
        <w:rPr>
          <w:b w:val="1"/>
          <w:bCs w:val="1"/>
          <w:sz w:val="28"/>
          <w:szCs w:val="28"/>
          <w:rtl w:val="0"/>
        </w:rPr>
        <w:t xml:space="preserve">CONSIDERANDO:</w:t>
      </w:r>
    </w:p>
    <w:p w:rsidR="00000000" w:rsidDel="00000000" w:rsidP="00000000" w:rsidRDefault="00000000" w:rsidRPr="00000000" w14:paraId="00000009">
      <w:pPr>
        <w:spacing w:after="240" w:before="240" w:lineRule="auto"/>
        <w:jc w:val="both"/>
        <w:rPr>
          <w:sz w:val="28"/>
          <w:szCs w:val="28"/>
        </w:rPr>
      </w:pPr>
      <w:r w:rsidDel="00000000" w:rsidR="00000000" w:rsidRPr="00000000">
        <w:rPr>
          <w:sz w:val="28"/>
          <w:szCs w:val="28"/>
          <w:rtl w:val="0"/>
        </w:rPr>
        <w:t xml:space="preserve">Que la presente Mesa de Trabajo y Diálogo sobre Políticas de Género fue convocada inicialmente por la Secretaría de la Mujer, junto con el Vicerrectorado de la Universidad Nacional de Córdoba y la Unidad Central de Políticas de Género de la Universidad Nacional de Córdoba, con el propósito de generar un espacio plural de intercambio y análisis en torno al proyecto de ley S-228/2025 que propone modificar el Código Penal en materia de falsa denuncia y falso testimonio, incorporando agravantes en supuestos vinculados con violencias de género y con hechos que involucran a niñas, niños y adolescentes.</w:t>
      </w:r>
    </w:p>
    <w:p w:rsidR="00000000" w:rsidDel="00000000" w:rsidP="00000000" w:rsidRDefault="00000000" w:rsidRPr="00000000" w14:paraId="0000000A">
      <w:pPr>
        <w:spacing w:after="240" w:before="240" w:lineRule="auto"/>
        <w:jc w:val="both"/>
        <w:rPr>
          <w:sz w:val="28"/>
          <w:szCs w:val="28"/>
        </w:rPr>
      </w:pPr>
      <w:r w:rsidDel="00000000" w:rsidR="00000000" w:rsidRPr="00000000">
        <w:rPr>
          <w:sz w:val="28"/>
          <w:szCs w:val="28"/>
          <w:rtl w:val="0"/>
        </w:rPr>
        <w:t xml:space="preserve">Que el encuentro se llevó a cabo el viernes 10 de abril, a las 14 horas, en la Sala del Honorable Consejo Superior de la Universidad Nacional de Córdoba, con la participación de organismos públicos, universidades, colegios profesionales, organizaciones sindicales, organizaciones de la sociedad civil, espacios académicos y áreas especializadas vinculadas a la temática, cuyos aportes contribuyeron a la elaboración del presente pronunciamiento colectivo.</w:t>
      </w:r>
    </w:p>
    <w:p w:rsidR="00000000" w:rsidDel="00000000" w:rsidP="00000000" w:rsidRDefault="00000000" w:rsidRPr="00000000" w14:paraId="0000000B">
      <w:pPr>
        <w:spacing w:after="240" w:before="240" w:lineRule="auto"/>
        <w:jc w:val="both"/>
        <w:rPr>
          <w:sz w:val="28"/>
          <w:szCs w:val="28"/>
        </w:rPr>
      </w:pPr>
      <w:r w:rsidDel="00000000" w:rsidR="00000000" w:rsidRPr="00000000">
        <w:rPr>
          <w:sz w:val="28"/>
          <w:szCs w:val="28"/>
          <w:rtl w:val="0"/>
        </w:rPr>
        <w:t xml:space="preserve">Que, en ese marco, la actividad se orientó a relevar aportes, preocupaciones, argumentos y observaciones desde una perspectiva plural y de derechos humanos, a fin de valorar el alcance del proyecto, sus posibles efectos y su vinculación con el marco normativo vigente en materia de acceso a la justicia, protección integral y prevención de las violencias.</w:t>
      </w:r>
    </w:p>
    <w:p w:rsidR="00000000" w:rsidDel="00000000" w:rsidP="00000000" w:rsidRDefault="00000000" w:rsidRPr="00000000" w14:paraId="0000000C">
      <w:pPr>
        <w:spacing w:after="240" w:before="240" w:lineRule="auto"/>
        <w:jc w:val="both"/>
        <w:rPr>
          <w:sz w:val="28"/>
          <w:szCs w:val="28"/>
        </w:rPr>
      </w:pPr>
      <w:r w:rsidDel="00000000" w:rsidR="00000000" w:rsidRPr="00000000">
        <w:rPr>
          <w:sz w:val="28"/>
          <w:szCs w:val="28"/>
          <w:rtl w:val="0"/>
        </w:rPr>
        <w:t xml:space="preserve">Que la reunión tuvo por finalidad visibilizar y sistematizar posiciones, identificar puntos de consenso y recuperar insumos para la elaboración de un documento común.</w:t>
      </w:r>
    </w:p>
    <w:p w:rsidR="00000000" w:rsidDel="00000000" w:rsidP="00000000" w:rsidRDefault="00000000" w:rsidRPr="00000000" w14:paraId="0000000D">
      <w:pPr>
        <w:spacing w:after="240" w:before="240" w:lineRule="auto"/>
        <w:jc w:val="both"/>
        <w:rPr>
          <w:sz w:val="28"/>
          <w:szCs w:val="28"/>
        </w:rPr>
      </w:pPr>
      <w:r w:rsidDel="00000000" w:rsidR="00000000" w:rsidRPr="00000000">
        <w:rPr>
          <w:sz w:val="28"/>
          <w:szCs w:val="28"/>
          <w:rtl w:val="0"/>
        </w:rPr>
        <w:t xml:space="preserve">Que del conjunto de las intervenciones surge un rechazo amplio, plural y categórico al proyecto analizado, en tanto se lo considera una iniciativa regresiva, sin sustento empírico suficiente y con capacidad de producir efectos intimidatorios sobre quienes denuncian, sobre quienes acompañan procesos de denuncia y sobre los equipos profesionales e institucionales que intervienen en situaciones de violencia de género, violencia sexual y vulneración de derechos de niñas, niños y adolescentes.</w:t>
      </w:r>
    </w:p>
    <w:p w:rsidR="00000000" w:rsidDel="00000000" w:rsidP="00000000" w:rsidRDefault="00000000" w:rsidRPr="00000000" w14:paraId="0000000E">
      <w:pPr>
        <w:spacing w:after="240" w:before="240" w:lineRule="auto"/>
        <w:jc w:val="both"/>
        <w:rPr>
          <w:sz w:val="28"/>
          <w:szCs w:val="28"/>
        </w:rPr>
      </w:pPr>
      <w:r w:rsidDel="00000000" w:rsidR="00000000" w:rsidRPr="00000000">
        <w:rPr>
          <w:sz w:val="28"/>
          <w:szCs w:val="28"/>
          <w:rtl w:val="0"/>
        </w:rPr>
        <w:t xml:space="preserve">Que la República Argentina ha ratificado los principales instrumentos internacionales de derechos humanos que consagran la igualdad de género y el derecho de las mujeres a una vida libre de violencia: la Convención sobre la Eliminación de Todas las Formas de Discriminación contra la Mujer (CEDAW), que posee jerarquía constitucional en virtud del art. 75 inc. 22 de la Constitución Nacional, y la Convención Interamericana para Prevenir, Sancionar y Erradicar la Violencia contra la Mujer (Convención de Belém do Pará), aprobada por Ley N.° 24.632, que goza de jerarquía supralegal conforme al esquema normativo establecido en dicho artículo constitucional, siendo en ambos casos de aplicación obligatoria para todos los poderes del Estado.</w:t>
      </w:r>
    </w:p>
    <w:p w:rsidR="00000000" w:rsidDel="00000000" w:rsidP="00000000" w:rsidRDefault="00000000" w:rsidRPr="00000000" w14:paraId="0000000F">
      <w:pPr>
        <w:spacing w:after="240" w:before="240" w:lineRule="auto"/>
        <w:jc w:val="both"/>
        <w:rPr>
          <w:sz w:val="28"/>
          <w:szCs w:val="28"/>
        </w:rPr>
      </w:pPr>
      <w:r w:rsidDel="00000000" w:rsidR="00000000" w:rsidRPr="00000000">
        <w:rPr>
          <w:sz w:val="28"/>
          <w:szCs w:val="28"/>
          <w:rtl w:val="0"/>
        </w:rPr>
        <w:t xml:space="preserve">Que las obligaciones generales del Estado, consagradas en los arts. 1° y 2° de la Convención Americana sobre Derechos Humanos,  comprenden los deberes de respetar, garantizar y adoptar medidas de derecho interno para hacer efectivos los derechos reconocidos. El deber de garantizar importa cuatro subtipos: prevenir, investigar, sancionar y reparar las violaciones a los derechos humanos (Corte IDH, Velásquez Rodríguez c. Honduras, 1988).</w:t>
      </w:r>
    </w:p>
    <w:p w:rsidR="00000000" w:rsidDel="00000000" w:rsidP="00000000" w:rsidRDefault="00000000" w:rsidRPr="00000000" w14:paraId="00000010">
      <w:pPr>
        <w:spacing w:after="240" w:before="240" w:lineRule="auto"/>
        <w:jc w:val="both"/>
        <w:rPr>
          <w:sz w:val="28"/>
          <w:szCs w:val="28"/>
        </w:rPr>
      </w:pPr>
      <w:r w:rsidDel="00000000" w:rsidR="00000000" w:rsidRPr="00000000">
        <w:rPr>
          <w:sz w:val="28"/>
          <w:szCs w:val="28"/>
          <w:rtl w:val="0"/>
        </w:rPr>
        <w:t xml:space="preserve">Que el art. 7 de la Convención de Belém do Pará ordena a los Estados parte “actuar con la debida diligencia para prevenir, investigar y sancionar la violencia contra la mujer”. La Recomendación General N.° 28 del Comité CEDAW establece asimismo la obligación de los Estados de proceder con debida diligencia para prevenir, investigar, enjuiciar y castigar los actos de violencia por motivos de género.</w:t>
      </w:r>
    </w:p>
    <w:p w:rsidR="00000000" w:rsidDel="00000000" w:rsidP="00000000" w:rsidRDefault="00000000" w:rsidRPr="00000000" w14:paraId="00000011">
      <w:pPr>
        <w:spacing w:after="240" w:before="240" w:lineRule="auto"/>
        <w:jc w:val="both"/>
        <w:rPr>
          <w:sz w:val="28"/>
          <w:szCs w:val="28"/>
        </w:rPr>
      </w:pPr>
      <w:r w:rsidDel="00000000" w:rsidR="00000000" w:rsidRPr="00000000">
        <w:rPr>
          <w:sz w:val="28"/>
          <w:szCs w:val="28"/>
          <w:rtl w:val="0"/>
        </w:rPr>
        <w:t xml:space="preserve">Que la 70.ª sesión de la Comisión de la Condición Jurídica y Social de la Mujer (CSW70, marzo de 2026) acordó que resulta imperativo “garantizar y fortalecer el acceso a la justicia para todas las mujeres y las niñas”, reconociendo que los estereotipos de género, las normas sociales negativas y las formas múltiples e interseccionales de discriminación constituyen un impedimento central para el acceso efectivo a la justicia (CSW70, 2026, párr. 6).</w:t>
      </w:r>
    </w:p>
    <w:p w:rsidR="00000000" w:rsidDel="00000000" w:rsidP="00000000" w:rsidRDefault="00000000" w:rsidRPr="00000000" w14:paraId="00000012">
      <w:pPr>
        <w:spacing w:after="240" w:before="240" w:lineRule="auto"/>
        <w:jc w:val="both"/>
        <w:rPr>
          <w:sz w:val="28"/>
          <w:szCs w:val="28"/>
        </w:rPr>
      </w:pPr>
      <w:r w:rsidDel="00000000" w:rsidR="00000000" w:rsidRPr="00000000">
        <w:rPr>
          <w:sz w:val="28"/>
          <w:szCs w:val="28"/>
          <w:rtl w:val="0"/>
        </w:rPr>
        <w:t xml:space="preserve">Que la Corte Interamericana de Derechos Humanos, en el caso González y otras (“Campo Algodonero”) c. México (2009), estableció que cuando existe un contexto de violencia, subordinación y discriminación histórica contra las mujeres, los compromisos internacionales 'imponen al Estado una responsabilidad reforzada'. Este precedente consolidó el concepto de debida diligencia reforzada como estándar específico en materia de violencia de género.</w:t>
      </w:r>
    </w:p>
    <w:p w:rsidR="00000000" w:rsidDel="00000000" w:rsidP="00000000" w:rsidRDefault="00000000" w:rsidRPr="00000000" w14:paraId="00000013">
      <w:pPr>
        <w:spacing w:after="240" w:before="240" w:lineRule="auto"/>
        <w:jc w:val="both"/>
        <w:rPr>
          <w:sz w:val="28"/>
          <w:szCs w:val="28"/>
        </w:rPr>
      </w:pPr>
      <w:r w:rsidDel="00000000" w:rsidR="00000000" w:rsidRPr="00000000">
        <w:rPr>
          <w:sz w:val="28"/>
          <w:szCs w:val="28"/>
          <w:rtl w:val="0"/>
        </w:rPr>
        <w:t xml:space="preserve">Que la Corte Interamericana de Derechos Humanos, ha señalado que “la falla del Estado de actuar con debida diligencia para proteger a las mujeres de la violencia constituye una forma de discriminación” (CIDH, 2011, párr. 111). Asimismo, la ineficacia judicial en estos casos “propicia un ambiente de impunidad que facilita y promueve la repetición de los hechos de violencia en general”, según reiterada jurisprudencia del Tribunal Superior de Justicia de Córdoba (TSJ Córdoba, “Trucco”, 2016; “Lizarralde”, 2017).</w:t>
      </w:r>
    </w:p>
    <w:p w:rsidR="00000000" w:rsidDel="00000000" w:rsidP="00000000" w:rsidRDefault="00000000" w:rsidRPr="00000000" w14:paraId="00000014">
      <w:pPr>
        <w:spacing w:after="240" w:before="240" w:lineRule="auto"/>
        <w:jc w:val="both"/>
        <w:rPr>
          <w:sz w:val="28"/>
          <w:szCs w:val="28"/>
        </w:rPr>
      </w:pPr>
      <w:r w:rsidDel="00000000" w:rsidR="00000000" w:rsidRPr="00000000">
        <w:rPr>
          <w:sz w:val="28"/>
          <w:szCs w:val="28"/>
          <w:rtl w:val="0"/>
        </w:rPr>
        <w:t xml:space="preserve">Que el estándar de debida diligencia reforzada exige, como mínimo: investigar sin emplear estereotipos de género; recibir las declaraciones de las víctimas en entornos cómodos, seguros y sin revictimización; manejar diligentemente la prueba desde las primeras horas; garantizar el acceso a asistencia jurídica gratuita; y garantizar la reparación integral. La Corte Interamericana de Derechos Humanos precisó estas exigencias en los casos “J. C. Perú” (2013) y “Velázquez Paiz c. Guatemala” (2015).</w:t>
      </w:r>
    </w:p>
    <w:p w:rsidR="00000000" w:rsidDel="00000000" w:rsidP="00000000" w:rsidRDefault="00000000" w:rsidRPr="00000000" w14:paraId="00000015">
      <w:pPr>
        <w:spacing w:after="240" w:before="240" w:lineRule="auto"/>
        <w:jc w:val="both"/>
        <w:rPr>
          <w:sz w:val="28"/>
          <w:szCs w:val="28"/>
        </w:rPr>
      </w:pPr>
      <w:r w:rsidDel="00000000" w:rsidR="00000000" w:rsidRPr="00000000">
        <w:rPr>
          <w:sz w:val="28"/>
          <w:szCs w:val="28"/>
          <w:rtl w:val="0"/>
        </w:rPr>
        <w:t xml:space="preserve">Que la Corte Suprema de Justicia de la Nación Argentina ha reconocido el deber de debida diligencia reforzada (causa “R., C. E. s/ recurso extraordinario”, 2019), señalando que este estándar se aplica no sólo para investigar y sancionar la violencia contra la mujer, sino también para prevenirla en todos los ámbitos posibles de la cadena de prevención, sanción y eliminación de las violencias.</w:t>
      </w:r>
    </w:p>
    <w:p w:rsidR="00000000" w:rsidDel="00000000" w:rsidP="00000000" w:rsidRDefault="00000000" w:rsidRPr="00000000" w14:paraId="00000016">
      <w:pPr>
        <w:spacing w:after="240" w:before="240" w:lineRule="auto"/>
        <w:jc w:val="both"/>
        <w:rPr>
          <w:sz w:val="28"/>
          <w:szCs w:val="28"/>
        </w:rPr>
      </w:pPr>
      <w:r w:rsidDel="00000000" w:rsidR="00000000" w:rsidRPr="00000000">
        <w:rPr>
          <w:sz w:val="28"/>
          <w:szCs w:val="28"/>
          <w:rtl w:val="0"/>
        </w:rPr>
        <w:t xml:space="preserve">Que el acceso a la justicia constituye un derecho humano fundamental, íntimamente ligado al derecho a la igualdad y a la tutela judicial efectiva. Implica no sólo la posibilidad de llegar al sistema judicial, sino también conocer los derechos, obtener un pronunciamiento justo y oportuno, libre de estereotipos y prejuicios.</w:t>
      </w:r>
    </w:p>
    <w:p w:rsidR="00000000" w:rsidDel="00000000" w:rsidP="00000000" w:rsidRDefault="00000000" w:rsidRPr="00000000" w14:paraId="00000017">
      <w:pPr>
        <w:spacing w:after="240" w:before="240" w:lineRule="auto"/>
        <w:jc w:val="both"/>
        <w:rPr>
          <w:sz w:val="28"/>
          <w:szCs w:val="28"/>
        </w:rPr>
      </w:pPr>
      <w:r w:rsidDel="00000000" w:rsidR="00000000" w:rsidRPr="00000000">
        <w:rPr>
          <w:sz w:val="28"/>
          <w:szCs w:val="28"/>
          <w:rtl w:val="0"/>
        </w:rPr>
        <w:t xml:space="preserve">Que la Comisión Interamericana de Derechos Humanos (CIDH), en su informe Acceso a la justicia para las mujeres víctimas de violencia en las Américas (2007), advirtió que los patrones socioculturales discriminatorios producen una descalificación de la credibilidad de la víctima durante el proceso penal, traducida en inacción de fiscales, policías y jueces, y en una valoración de la prueba marcada por nociones estereotipadas sobre el comportamiento esperado de las mujeres.</w:t>
      </w:r>
    </w:p>
    <w:p w:rsidR="00000000" w:rsidDel="00000000" w:rsidP="00000000" w:rsidRDefault="00000000" w:rsidRPr="00000000" w14:paraId="00000018">
      <w:pPr>
        <w:spacing w:after="240" w:before="240" w:lineRule="auto"/>
        <w:jc w:val="both"/>
        <w:rPr>
          <w:sz w:val="28"/>
          <w:szCs w:val="28"/>
        </w:rPr>
      </w:pPr>
      <w:r w:rsidDel="00000000" w:rsidR="00000000" w:rsidRPr="00000000">
        <w:rPr>
          <w:sz w:val="28"/>
          <w:szCs w:val="28"/>
          <w:rtl w:val="0"/>
        </w:rPr>
        <w:t xml:space="preserve">Que las conductas de falsa denuncia y falso testimonio ya se encuentran tipificadas en el ordenamiento penal vigente, por lo que el proyecto S-228/2025 no viene a cubrir vacío legal alguno, sino a introducir un agravamiento selectivo en aquellos ámbitos donde históricamente existen más barreras para denunciar, producir prueba y obtener una respuesta estatal efectiva.</w:t>
      </w:r>
    </w:p>
    <w:p w:rsidR="00000000" w:rsidDel="00000000" w:rsidP="00000000" w:rsidRDefault="00000000" w:rsidRPr="00000000" w14:paraId="00000019">
      <w:pPr>
        <w:spacing w:after="240" w:before="240" w:lineRule="auto"/>
        <w:jc w:val="both"/>
        <w:rPr>
          <w:sz w:val="28"/>
          <w:szCs w:val="28"/>
        </w:rPr>
      </w:pPr>
      <w:r w:rsidDel="00000000" w:rsidR="00000000" w:rsidRPr="00000000">
        <w:rPr>
          <w:sz w:val="28"/>
          <w:szCs w:val="28"/>
          <w:rtl w:val="0"/>
        </w:rPr>
        <w:t xml:space="preserve">Que la evidencia relevada en la posición institucional analizada indica que las denominadas falsas denuncias constituyen un fenómeno estadísticamente marginal, mientras que el verdadero problema estructural es la subdenuncia, especialmente en casos de violencia de género y delitos contra la integridad sexual; señalándose incluso que, en sistemas de alta calidad de registro, las falsas denuncias alcanzan apenas el 0,01% del total. De modo que legislar sobre esa excepción implica un desplazamiento irracional del foco respecto del problema real.</w:t>
      </w:r>
    </w:p>
    <w:p w:rsidR="00000000" w:rsidDel="00000000" w:rsidP="00000000" w:rsidRDefault="00000000" w:rsidRPr="00000000" w14:paraId="0000001A">
      <w:pPr>
        <w:spacing w:after="240" w:before="240" w:lineRule="auto"/>
        <w:jc w:val="both"/>
        <w:rPr>
          <w:sz w:val="28"/>
          <w:szCs w:val="28"/>
        </w:rPr>
      </w:pPr>
      <w:r w:rsidDel="00000000" w:rsidR="00000000" w:rsidRPr="00000000">
        <w:rPr>
          <w:sz w:val="28"/>
          <w:szCs w:val="28"/>
          <w:rtl w:val="0"/>
        </w:rPr>
        <w:t xml:space="preserve">Que las barreras que enfrentan las víctimas para denunciar son múltiples y estructurales, entre ellas el miedo a represalias, la dependencia económica, la presión del entorno y la desconfianza institucional, por lo que toda medida que incremente el temor a denunciar agrava el silenciamiento, la impunidad y la desprotección.</w:t>
      </w:r>
    </w:p>
    <w:p w:rsidR="00000000" w:rsidDel="00000000" w:rsidP="00000000" w:rsidRDefault="00000000" w:rsidRPr="00000000" w14:paraId="0000001B">
      <w:pPr>
        <w:spacing w:after="240" w:before="240" w:lineRule="auto"/>
        <w:jc w:val="both"/>
        <w:rPr>
          <w:sz w:val="28"/>
          <w:szCs w:val="28"/>
        </w:rPr>
      </w:pPr>
      <w:r w:rsidDel="00000000" w:rsidR="00000000" w:rsidRPr="00000000">
        <w:rPr>
          <w:sz w:val="28"/>
          <w:szCs w:val="28"/>
          <w:rtl w:val="0"/>
        </w:rPr>
        <w:t xml:space="preserve">Que agravar las penas en estos supuestos produce un efecto disuasorio especialmente grave sobre mujeres, diversidades, niñas, niños y adolescentes, así como sobre personas adultas protectoras, en tanto agrega a las barreras ya existentes la amenaza de convertirse ellas mismas en sujetas de persecución penal por acudir al sistema de justicia.</w:t>
      </w:r>
    </w:p>
    <w:p w:rsidR="00000000" w:rsidDel="00000000" w:rsidP="00000000" w:rsidRDefault="00000000" w:rsidRPr="00000000" w14:paraId="0000001C">
      <w:pPr>
        <w:spacing w:after="240" w:before="240" w:lineRule="auto"/>
        <w:jc w:val="both"/>
        <w:rPr>
          <w:sz w:val="28"/>
          <w:szCs w:val="28"/>
        </w:rPr>
      </w:pPr>
      <w:r w:rsidDel="00000000" w:rsidR="00000000" w:rsidRPr="00000000">
        <w:rPr>
          <w:sz w:val="28"/>
          <w:szCs w:val="28"/>
          <w:rtl w:val="0"/>
        </w:rPr>
        <w:t xml:space="preserve">Que resulta jurídicamente inadmisible equiparar denuncia falsa con archivo, absolución, sobreseimiento, retractación o falta de prueba suficiente, ya que la ausencia de condena no implica falsedad de la denuncia, y esa confusión vulnera principios elementales del derecho penal, del debido proceso y de la valoración probatoria en contextos de violencia.</w:t>
      </w:r>
    </w:p>
    <w:p w:rsidR="00000000" w:rsidDel="00000000" w:rsidP="00000000" w:rsidRDefault="00000000" w:rsidRPr="00000000" w14:paraId="0000001D">
      <w:pPr>
        <w:spacing w:after="240" w:before="240" w:lineRule="auto"/>
        <w:jc w:val="both"/>
        <w:rPr>
          <w:sz w:val="28"/>
          <w:szCs w:val="28"/>
        </w:rPr>
      </w:pPr>
      <w:r w:rsidDel="00000000" w:rsidR="00000000" w:rsidRPr="00000000">
        <w:rPr>
          <w:sz w:val="28"/>
          <w:szCs w:val="28"/>
          <w:rtl w:val="0"/>
        </w:rPr>
        <w:t xml:space="preserve">Que las denuncias en contextos de violencia de género pueden ser contradictorias o inconsistentes no por falsedad, sino porque la víctima se encuentra atrapada en el ciclo de la violencia, tiene miedo o depende del agresor, circunstancias que el estándar internacional de debida diligencia exige comprender y no sancionar. Penalizar con mayor dureza la 'falsa denuncia' en este contexto puede convertirse en una herramienta de intimidación en manos del propio agresor.</w:t>
      </w:r>
    </w:p>
    <w:p w:rsidR="00000000" w:rsidDel="00000000" w:rsidP="00000000" w:rsidRDefault="00000000" w:rsidRPr="00000000" w14:paraId="0000001E">
      <w:pPr>
        <w:spacing w:after="240" w:before="240" w:lineRule="auto"/>
        <w:jc w:val="both"/>
        <w:rPr>
          <w:sz w:val="28"/>
          <w:szCs w:val="28"/>
        </w:rPr>
      </w:pPr>
      <w:r w:rsidDel="00000000" w:rsidR="00000000" w:rsidRPr="00000000">
        <w:rPr>
          <w:sz w:val="28"/>
          <w:szCs w:val="28"/>
          <w:rtl w:val="0"/>
        </w:rPr>
        <w:t xml:space="preserve">Que, en particular, la retractación constituye una conducta frecuente y esperable en contextos de violencia, condicionada por la presión del entorno de quien agrede, la dependencia emocional y económica y la propia revictimización procesal. Por lo que equipararla a falsedad importa un error técnico grave y profundamente regresivo.</w:t>
      </w:r>
    </w:p>
    <w:p w:rsidR="00000000" w:rsidDel="00000000" w:rsidP="00000000" w:rsidRDefault="00000000" w:rsidRPr="00000000" w14:paraId="0000001F">
      <w:pPr>
        <w:spacing w:after="240" w:before="240" w:lineRule="auto"/>
        <w:jc w:val="both"/>
        <w:rPr>
          <w:sz w:val="28"/>
          <w:szCs w:val="28"/>
        </w:rPr>
      </w:pPr>
      <w:r w:rsidDel="00000000" w:rsidR="00000000" w:rsidRPr="00000000">
        <w:rPr>
          <w:sz w:val="28"/>
          <w:szCs w:val="28"/>
          <w:rtl w:val="0"/>
        </w:rPr>
        <w:t xml:space="preserve">Que la elevación de la escala penal a tres-seis años en la figura agravada excluye automáticamente la condena condicional, la probation y las modalidades alternativas de cumplimiento, e incrementa el riesgo de dictado de prisión preventiva contra la persona denunciante. En un sistema penal que opera en condiciones estructuralmente desiguales, este impacto recae de modo desproporcionado sobre mujeres de sectores populares con escaso acceso a defensa técnica de calidad.</w:t>
      </w:r>
    </w:p>
    <w:p w:rsidR="00000000" w:rsidDel="00000000" w:rsidP="00000000" w:rsidRDefault="00000000" w:rsidRPr="00000000" w14:paraId="00000020">
      <w:pPr>
        <w:spacing w:after="240" w:before="240" w:lineRule="auto"/>
        <w:jc w:val="both"/>
        <w:rPr>
          <w:sz w:val="28"/>
          <w:szCs w:val="28"/>
        </w:rPr>
      </w:pPr>
      <w:r w:rsidDel="00000000" w:rsidR="00000000" w:rsidRPr="00000000">
        <w:rPr>
          <w:sz w:val="28"/>
          <w:szCs w:val="28"/>
          <w:rtl w:val="0"/>
        </w:rPr>
        <w:t xml:space="preserve">Que la reforma proyectada también impacta negativamente sobre la producción de prueba y sobre la intervención de profesionales de la salud, peritos, psicólogas, psicólogos, trabajadoras y trabajadores sociales, equipos técnicos, instituciones públicas y organizaciones de acompañamiento, al instalar una sospecha estructural sobre su labor e intentar debilitar la legitimidad de los dispositivos especializados de escucha, resguardo y protección.</w:t>
      </w:r>
    </w:p>
    <w:p w:rsidR="00000000" w:rsidDel="00000000" w:rsidP="00000000" w:rsidRDefault="00000000" w:rsidRPr="00000000" w14:paraId="00000021">
      <w:pPr>
        <w:spacing w:after="240" w:before="240" w:lineRule="auto"/>
        <w:jc w:val="both"/>
        <w:rPr>
          <w:sz w:val="28"/>
          <w:szCs w:val="28"/>
        </w:rPr>
      </w:pPr>
      <w:r w:rsidDel="00000000" w:rsidR="00000000" w:rsidRPr="00000000">
        <w:rPr>
          <w:sz w:val="28"/>
          <w:szCs w:val="28"/>
          <w:rtl w:val="0"/>
        </w:rPr>
        <w:t xml:space="preserve">Que las personas más expuestas a ser perseguidas bajo el nuevo tipo penal agravado son mujeres que denuncian violencia de género, madres protectoras en conflictos por abuso sexual infantil, adolescentes y personas con menor acceso a defensa técnica. La experiencia judicial demuestra que las denuncias por abuso sexual intrafamiliar suelen ser reinterpretadas por los agresores como 'denuncias falsas' para desacreditar a las víctimas o revertir medidas de protección.</w:t>
      </w:r>
    </w:p>
    <w:p w:rsidR="00000000" w:rsidDel="00000000" w:rsidP="00000000" w:rsidRDefault="00000000" w:rsidRPr="00000000" w14:paraId="00000022">
      <w:pPr>
        <w:spacing w:after="240" w:before="240" w:lineRule="auto"/>
        <w:jc w:val="both"/>
        <w:rPr>
          <w:sz w:val="28"/>
          <w:szCs w:val="28"/>
        </w:rPr>
      </w:pPr>
      <w:r w:rsidDel="00000000" w:rsidR="00000000" w:rsidRPr="00000000">
        <w:rPr>
          <w:sz w:val="28"/>
          <w:szCs w:val="28"/>
          <w:rtl w:val="0"/>
        </w:rPr>
        <w:t xml:space="preserve">Que el proyecto de ley también produce un impacto particularmente grave sobre las niñas, niños y adolescentes víctimas de abuso, dado que los procesos de develamiento del hecho traumático presentan complejidades que demandan comprensión y contención institucional. La amenaza de persecución penal contra quienes acompañan y testimonian puede desalentar la denuncia oportuna y el acompañamiento especializado, en violación directa del interés superior del niño consagrado en la Convención sobre los Derechos del Niño y en la Ley N° 26.061.</w:t>
      </w:r>
    </w:p>
    <w:p w:rsidR="00000000" w:rsidDel="00000000" w:rsidP="00000000" w:rsidRDefault="00000000" w:rsidRPr="00000000" w14:paraId="00000023">
      <w:pPr>
        <w:spacing w:after="240" w:before="240" w:lineRule="auto"/>
        <w:jc w:val="both"/>
        <w:rPr>
          <w:sz w:val="28"/>
          <w:szCs w:val="28"/>
        </w:rPr>
      </w:pPr>
      <w:r w:rsidDel="00000000" w:rsidR="00000000" w:rsidRPr="00000000">
        <w:rPr>
          <w:sz w:val="28"/>
          <w:szCs w:val="28"/>
          <w:rtl w:val="0"/>
        </w:rPr>
        <w:t xml:space="preserve">Que el proyecto es incompatible con los compromisos internacionales asumidos por el Estado argentino en el marco de la Convención sobre la Eliminación de Todas las Formas de Discriminación contra la Mujer (CEDAW), la Convención Interamericana para Prevenir, Sancionar y Erradicar la Violencia contra la Mujer “Belém do Pará” y la Convención sobre los Derechos del Niño, así como con los estándares del Sistema Interamericano de Derechos Humanos, que obligan a remover obstáculos para denunciar, garantizar el acceso efectivo a la justicia y actuar con debida diligencia reforzada frente a las violencias por motivos de género y las violencias contra las infancias.</w:t>
      </w:r>
    </w:p>
    <w:p w:rsidR="00000000" w:rsidDel="00000000" w:rsidP="00000000" w:rsidRDefault="00000000" w:rsidRPr="00000000" w14:paraId="00000024">
      <w:pPr>
        <w:spacing w:after="240" w:before="240" w:lineRule="auto"/>
        <w:jc w:val="both"/>
        <w:rPr>
          <w:sz w:val="28"/>
          <w:szCs w:val="28"/>
        </w:rPr>
      </w:pPr>
      <w:r w:rsidDel="00000000" w:rsidR="00000000" w:rsidRPr="00000000">
        <w:rPr>
          <w:sz w:val="28"/>
          <w:szCs w:val="28"/>
          <w:rtl w:val="0"/>
        </w:rPr>
        <w:t xml:space="preserve">Que la iniciativa contradice además el marco normativo nacional de protección integral, en particular la Ley N°26.485, la Ley N°27.372 y la Ley N°26.061, al desalentar la denuncia, favorecer la revictimización y poner en riesgo el interés superior de niñas, niños y adolescentes.</w:t>
      </w:r>
    </w:p>
    <w:p w:rsidR="00000000" w:rsidDel="00000000" w:rsidP="00000000" w:rsidRDefault="00000000" w:rsidRPr="00000000" w14:paraId="00000025">
      <w:pPr>
        <w:spacing w:after="240" w:before="240" w:lineRule="auto"/>
        <w:jc w:val="both"/>
        <w:rPr>
          <w:sz w:val="28"/>
          <w:szCs w:val="28"/>
        </w:rPr>
      </w:pPr>
      <w:r w:rsidDel="00000000" w:rsidR="00000000" w:rsidRPr="00000000">
        <w:rPr>
          <w:sz w:val="28"/>
          <w:szCs w:val="28"/>
          <w:rtl w:val="0"/>
        </w:rPr>
        <w:t xml:space="preserve">Que el principio de no regresividad, consustancial al derecho internacional de los derechos humanos, impide al Estado adoptar medidas que retrocedan en el nivel de protección alcanzado. Toda norma que desincentive el ejercicio del derecho a denunciar violencias de género, sexual o familiar constituye una medida regresiva incompatible con las obligaciones convencionales de Argentina, y su aprobación generaría responsabilidad internacional del Estado ante los órganos del Sistema Interamericano.</w:t>
      </w:r>
    </w:p>
    <w:p w:rsidR="00000000" w:rsidDel="00000000" w:rsidP="00000000" w:rsidRDefault="00000000" w:rsidRPr="00000000" w14:paraId="00000026">
      <w:pPr>
        <w:spacing w:after="240" w:before="240" w:lineRule="auto"/>
        <w:jc w:val="both"/>
        <w:rPr>
          <w:sz w:val="28"/>
          <w:szCs w:val="28"/>
        </w:rPr>
      </w:pPr>
      <w:r w:rsidDel="00000000" w:rsidR="00000000" w:rsidRPr="00000000">
        <w:rPr>
          <w:sz w:val="28"/>
          <w:szCs w:val="28"/>
          <w:rtl w:val="0"/>
        </w:rPr>
        <w:t xml:space="preserve">Que desde el punto de vista constitucional el agravamiento propuesto genera tensiones con el principio de razonabilidad y proporcionalidad, al reforzar la protección penal del honor del denunciado en contextos donde se encuentran comprometidos bienes jurídicos de jerarquía superior, como la vida, la integridad personal, la libertad sexual y la integridad psíquica.</w:t>
      </w:r>
    </w:p>
    <w:p w:rsidR="00000000" w:rsidDel="00000000" w:rsidP="00000000" w:rsidRDefault="00000000" w:rsidRPr="00000000" w14:paraId="00000027">
      <w:pPr>
        <w:spacing w:after="240" w:before="240" w:lineRule="auto"/>
        <w:jc w:val="both"/>
        <w:rPr>
          <w:sz w:val="28"/>
          <w:szCs w:val="28"/>
        </w:rPr>
      </w:pPr>
      <w:r w:rsidDel="00000000" w:rsidR="00000000" w:rsidRPr="00000000">
        <w:rPr>
          <w:sz w:val="28"/>
          <w:szCs w:val="28"/>
          <w:rtl w:val="0"/>
        </w:rPr>
        <w:t xml:space="preserve">Que la impunidad de los delitos cometidos en contextos de violencia de género “envía el mensaje de que la violencia contra la mujer es tolerada”, favoreciendo su perpetuación y aceptación social. Por ello, la Corte IDH ha insistido en que la obligación de debida diligencia tiene como fin “evitar la impunidad crónica que envía un mensaje de tolerancia y permite la repetición de los hechos”.</w:t>
      </w:r>
    </w:p>
    <w:p w:rsidR="00000000" w:rsidDel="00000000" w:rsidP="00000000" w:rsidRDefault="00000000" w:rsidRPr="00000000" w14:paraId="00000028">
      <w:pPr>
        <w:spacing w:after="240" w:before="240" w:lineRule="auto"/>
        <w:jc w:val="both"/>
        <w:rPr>
          <w:sz w:val="28"/>
          <w:szCs w:val="28"/>
        </w:rPr>
      </w:pPr>
      <w:r w:rsidDel="00000000" w:rsidR="00000000" w:rsidRPr="00000000">
        <w:rPr>
          <w:sz w:val="28"/>
          <w:szCs w:val="28"/>
          <w:rtl w:val="0"/>
        </w:rPr>
        <w:t xml:space="preserve">Que esta reforma no constituye una respuesta técnica ni neutral, sino que se inscribe en una avanzada político-cultural regresiva que busca reinstalar la sospecha sobre la palabra de mujeres, diversidades, niñas, niños y adolescentes, debilitar las políticas públicas de género y erosionar consensos democráticos construidos en materia de derechos humanos y acceso a la justicia.</w:t>
      </w:r>
    </w:p>
    <w:p w:rsidR="00000000" w:rsidDel="00000000" w:rsidP="00000000" w:rsidRDefault="00000000" w:rsidRPr="00000000" w14:paraId="00000029">
      <w:pPr>
        <w:spacing w:after="240" w:before="240" w:lineRule="auto"/>
        <w:jc w:val="both"/>
        <w:rPr>
          <w:sz w:val="28"/>
          <w:szCs w:val="28"/>
        </w:rPr>
      </w:pPr>
      <w:r w:rsidDel="00000000" w:rsidR="00000000" w:rsidRPr="00000000">
        <w:rPr>
          <w:sz w:val="28"/>
          <w:szCs w:val="28"/>
          <w:rtl w:val="0"/>
        </w:rPr>
        <w:t xml:space="preserve">Que la CSW70 (2026) exhorta a los Estados a velar por la creación continua de capacidades de quienes son profesionales del sistema de justicia para eliminar los estereotipos de género y la discriminación en las evaluaciones de credibilidad, y a establecer mecanismos de supervisión que garanticen la rendición de cuentas cuando se produzcan violaciones (CSW70, 2026).</w:t>
      </w:r>
    </w:p>
    <w:p w:rsidR="00000000" w:rsidDel="00000000" w:rsidP="00000000" w:rsidRDefault="00000000" w:rsidRPr="00000000" w14:paraId="0000002A">
      <w:pPr>
        <w:spacing w:after="240" w:before="240" w:lineRule="auto"/>
        <w:jc w:val="both"/>
        <w:rPr>
          <w:sz w:val="28"/>
          <w:szCs w:val="28"/>
        </w:rPr>
      </w:pPr>
      <w:r w:rsidDel="00000000" w:rsidR="00000000" w:rsidRPr="00000000">
        <w:rPr>
          <w:sz w:val="28"/>
          <w:szCs w:val="28"/>
          <w:rtl w:val="0"/>
        </w:rPr>
        <w:t xml:space="preserve">Que corresponde construir una respuesta institucional y colectiva clara, pública y sostenida, orientada a impedir el avance de esta reforma y a reafirmar que el camino democrático es más protección, más prevención, más acceso a la justicia, más intervención especializada y más políticas basadas en evidencia, y nunca más amenaza penal contra quienes denuncian.</w:t>
      </w:r>
    </w:p>
    <w:p w:rsidR="00000000" w:rsidDel="00000000" w:rsidP="00000000" w:rsidRDefault="00000000" w:rsidRPr="00000000" w14:paraId="0000002B">
      <w:pPr>
        <w:spacing w:after="240" w:before="240" w:lineRule="auto"/>
        <w:jc w:val="both"/>
        <w:rPr>
          <w:b w:val="1"/>
          <w:bCs w:val="1"/>
          <w:sz w:val="28"/>
          <w:szCs w:val="28"/>
        </w:rPr>
      </w:pPr>
      <w:r w:rsidDel="00000000" w:rsidR="00000000" w:rsidRPr="00000000">
        <w:rPr>
          <w:rtl w:val="0"/>
        </w:rPr>
      </w:r>
    </w:p>
    <w:p w:rsidR="00000000" w:rsidDel="00000000" w:rsidP="00000000" w:rsidRDefault="00000000" w:rsidRPr="00000000" w14:paraId="0000002C">
      <w:pPr>
        <w:spacing w:after="240" w:before="240" w:lineRule="auto"/>
        <w:jc w:val="both"/>
        <w:rPr>
          <w:b w:val="1"/>
          <w:bCs w:val="1"/>
          <w:sz w:val="28"/>
          <w:szCs w:val="28"/>
        </w:rPr>
      </w:pPr>
      <w:r w:rsidDel="00000000" w:rsidR="00000000" w:rsidRPr="00000000">
        <w:rPr>
          <w:b w:val="1"/>
          <w:bCs w:val="1"/>
          <w:sz w:val="28"/>
          <w:szCs w:val="28"/>
          <w:rtl w:val="0"/>
        </w:rPr>
        <w:t xml:space="preserve">POR ELLO,</w:t>
        <w:br w:type="textWrapping"/>
        <w:t xml:space="preserve">LA MESA DE TRABAJO Y DIÁLOGO SOBRE POLÍTICAS DE GÉNERO CONSTITUIDA ANTE EL PROYECTO DE LEY “FALSAS DENUNCIAS”</w:t>
        <w:br w:type="textWrapping"/>
        <w:t xml:space="preserve">RESUELVE:</w:t>
      </w:r>
    </w:p>
    <w:p w:rsidR="00000000" w:rsidDel="00000000" w:rsidP="00000000" w:rsidRDefault="00000000" w:rsidRPr="00000000" w14:paraId="0000002D">
      <w:pPr>
        <w:spacing w:after="240" w:before="240" w:lineRule="auto"/>
        <w:jc w:val="both"/>
        <w:rPr>
          <w:sz w:val="28"/>
          <w:szCs w:val="28"/>
        </w:rPr>
      </w:pPr>
      <w:r w:rsidDel="00000000" w:rsidR="00000000" w:rsidRPr="00000000">
        <w:rPr>
          <w:b w:val="1"/>
          <w:bCs w:val="1"/>
          <w:sz w:val="28"/>
          <w:szCs w:val="28"/>
          <w:rtl w:val="0"/>
        </w:rPr>
        <w:t xml:space="preserve">Artículo 1°.-</w:t>
      </w:r>
      <w:r w:rsidDel="00000000" w:rsidR="00000000" w:rsidRPr="00000000">
        <w:rPr>
          <w:sz w:val="28"/>
          <w:szCs w:val="28"/>
          <w:rtl w:val="0"/>
        </w:rPr>
        <w:t xml:space="preserve"> Expresar su más enérgico repudio y rechazo al proyecto de ley S-228/2025, por constituir una iniciativa regresiva, selectiva, intimidatoria y contraria a los estándares constitucionales, convencionales y legales vigentes en materia de derechos humanos, acceso a la justicia, protección integral y prevención de las violencias.</w:t>
      </w:r>
    </w:p>
    <w:p w:rsidR="00000000" w:rsidDel="00000000" w:rsidP="00000000" w:rsidRDefault="00000000" w:rsidRPr="00000000" w14:paraId="0000002E">
      <w:pPr>
        <w:spacing w:after="240" w:before="240" w:lineRule="auto"/>
        <w:jc w:val="both"/>
        <w:rPr>
          <w:sz w:val="28"/>
          <w:szCs w:val="28"/>
        </w:rPr>
      </w:pPr>
      <w:r w:rsidDel="00000000" w:rsidR="00000000" w:rsidRPr="00000000">
        <w:rPr>
          <w:b w:val="1"/>
          <w:bCs w:val="1"/>
          <w:sz w:val="28"/>
          <w:szCs w:val="28"/>
          <w:rtl w:val="0"/>
        </w:rPr>
        <w:t xml:space="preserve">Artículo 2°.-</w:t>
      </w:r>
      <w:r w:rsidDel="00000000" w:rsidR="00000000" w:rsidRPr="00000000">
        <w:rPr>
          <w:sz w:val="28"/>
          <w:szCs w:val="28"/>
          <w:rtl w:val="0"/>
        </w:rPr>
        <w:t xml:space="preserve"> Advertir públicamente que el referido proyecto carece de sustento empírico suficiente, legisla sobre un fenómeno estadísticamente marginal y desplaza el foco desde el problema estructural de la violencia, la subdenuncia y la impunidad hacia una narrativa estigmatizante sobre quienes denuncian.</w:t>
      </w:r>
    </w:p>
    <w:p w:rsidR="00000000" w:rsidDel="00000000" w:rsidP="00000000" w:rsidRDefault="00000000" w:rsidRPr="00000000" w14:paraId="0000002F">
      <w:pPr>
        <w:spacing w:after="240" w:before="240" w:lineRule="auto"/>
        <w:jc w:val="both"/>
        <w:rPr>
          <w:sz w:val="28"/>
          <w:szCs w:val="28"/>
        </w:rPr>
      </w:pPr>
      <w:r w:rsidDel="00000000" w:rsidR="00000000" w:rsidRPr="00000000">
        <w:rPr>
          <w:b w:val="1"/>
          <w:bCs w:val="1"/>
          <w:sz w:val="28"/>
          <w:szCs w:val="28"/>
          <w:rtl w:val="0"/>
        </w:rPr>
        <w:t xml:space="preserve">Artículo 3 °.-</w:t>
      </w:r>
      <w:r w:rsidDel="00000000" w:rsidR="00000000" w:rsidRPr="00000000">
        <w:rPr>
          <w:sz w:val="28"/>
          <w:szCs w:val="28"/>
          <w:rtl w:val="0"/>
        </w:rPr>
        <w:t xml:space="preserve"> Señalar que la reforma propuesta genera un efecto disuasorio especialmente grave sobre mujeres, diversidades, niñas, niños y adolescentes, así como sobre personas adultas protectoras, y que su eventual aprobación implicaría un grave retroceso en materia de acceso a la justicia y protección de derechos, generando además responsabilidad internacional del Estado argentino ante los órganos del Sistema Interamericano de Derechos Humanos.</w:t>
      </w:r>
    </w:p>
    <w:p w:rsidR="00000000" w:rsidDel="00000000" w:rsidP="00000000" w:rsidRDefault="00000000" w:rsidRPr="00000000" w14:paraId="00000030">
      <w:pPr>
        <w:spacing w:after="240" w:before="240" w:lineRule="auto"/>
        <w:jc w:val="both"/>
        <w:rPr>
          <w:sz w:val="28"/>
          <w:szCs w:val="28"/>
        </w:rPr>
      </w:pPr>
      <w:r w:rsidDel="00000000" w:rsidR="00000000" w:rsidRPr="00000000">
        <w:rPr>
          <w:b w:val="1"/>
          <w:bCs w:val="1"/>
          <w:sz w:val="28"/>
          <w:szCs w:val="28"/>
          <w:rtl w:val="0"/>
        </w:rPr>
        <w:t xml:space="preserve">Artículo 4°.-</w:t>
      </w:r>
      <w:r w:rsidDel="00000000" w:rsidR="00000000" w:rsidRPr="00000000">
        <w:rPr>
          <w:sz w:val="28"/>
          <w:szCs w:val="28"/>
          <w:rtl w:val="0"/>
        </w:rPr>
        <w:t xml:space="preserve"> Manifestar que el proyecto también debilita la producción de prueba y afecta negativamente la tarea de profesionales de la salud, peritos, psicólogas, psicólogos, trabajadoras y trabajadores sociales, equipos técnicos, instituciones públicas y organizaciones de acompañamiento que intervienen en procesos de escucha, protección y denuncia.</w:t>
      </w:r>
    </w:p>
    <w:p w:rsidR="00000000" w:rsidDel="00000000" w:rsidP="00000000" w:rsidRDefault="00000000" w:rsidRPr="00000000" w14:paraId="00000031">
      <w:pPr>
        <w:spacing w:after="240" w:before="240" w:lineRule="auto"/>
        <w:jc w:val="both"/>
        <w:rPr>
          <w:sz w:val="28"/>
          <w:szCs w:val="28"/>
        </w:rPr>
      </w:pPr>
      <w:r w:rsidDel="00000000" w:rsidR="00000000" w:rsidRPr="00000000">
        <w:rPr>
          <w:b w:val="1"/>
          <w:bCs w:val="1"/>
          <w:sz w:val="28"/>
          <w:szCs w:val="28"/>
          <w:rtl w:val="0"/>
        </w:rPr>
        <w:t xml:space="preserve">Artículo 5°.-</w:t>
      </w:r>
      <w:r w:rsidDel="00000000" w:rsidR="00000000" w:rsidRPr="00000000">
        <w:rPr>
          <w:sz w:val="28"/>
          <w:szCs w:val="28"/>
          <w:rtl w:val="0"/>
        </w:rPr>
        <w:t xml:space="preserve"> Declarar que el proyecto resulta incompatible con las obligaciones internacionales asumidas por el Estado argentino en el marco de la CEDAW, la Convención de Belém do Pará y la Convención sobre los Derechos del Niño, con el bloque de constitucionalidad federal y con el marco normativo nacional de protección integral (Leyes N°26.485, 27.372 y 26.061), en virtud del estándar de debida diligencia reforzada elaborado por la Corte IDH y los organismos del Sistema Interamericano de Derechos Humanos. </w:t>
      </w:r>
    </w:p>
    <w:p w:rsidR="00000000" w:rsidDel="00000000" w:rsidP="00000000" w:rsidRDefault="00000000" w:rsidRPr="00000000" w14:paraId="00000032">
      <w:pPr>
        <w:spacing w:after="240" w:before="240" w:lineRule="auto"/>
        <w:jc w:val="both"/>
        <w:rPr>
          <w:sz w:val="28"/>
          <w:szCs w:val="28"/>
        </w:rPr>
      </w:pPr>
      <w:r w:rsidDel="00000000" w:rsidR="00000000" w:rsidRPr="00000000">
        <w:rPr>
          <w:b w:val="1"/>
          <w:bCs w:val="1"/>
          <w:sz w:val="28"/>
          <w:szCs w:val="28"/>
          <w:rtl w:val="0"/>
        </w:rPr>
        <w:t xml:space="preserve">Artículo 6°.-</w:t>
      </w:r>
      <w:r w:rsidDel="00000000" w:rsidR="00000000" w:rsidRPr="00000000">
        <w:rPr>
          <w:sz w:val="28"/>
          <w:szCs w:val="28"/>
          <w:rtl w:val="0"/>
        </w:rPr>
        <w:t xml:space="preserve"> Exigir a la Honorable Congreso de la Nación Argentina, a las senadoras y los senadores nacionales, y a las diputadas y los diputados nacionales el rechazo inmediato del proyecto de ley S-228/2025, instando asimismo a abstenerse de avanzar en cualquier reforma legislativa que produzca un efecto disuasorio sobre las denuncias de violencia de género, sexual o familiar.</w:t>
      </w:r>
    </w:p>
    <w:p w:rsidR="00000000" w:rsidDel="00000000" w:rsidP="00000000" w:rsidRDefault="00000000" w:rsidRPr="00000000" w14:paraId="00000033">
      <w:pPr>
        <w:spacing w:after="240" w:before="240" w:lineRule="auto"/>
        <w:jc w:val="both"/>
        <w:rPr>
          <w:sz w:val="28"/>
          <w:szCs w:val="28"/>
        </w:rPr>
      </w:pPr>
      <w:r w:rsidDel="00000000" w:rsidR="00000000" w:rsidRPr="00000000">
        <w:rPr>
          <w:b w:val="1"/>
          <w:bCs w:val="1"/>
          <w:sz w:val="28"/>
          <w:szCs w:val="28"/>
          <w:rtl w:val="0"/>
        </w:rPr>
        <w:t xml:space="preserve">Artículo 7°.-</w:t>
      </w:r>
      <w:r w:rsidDel="00000000" w:rsidR="00000000" w:rsidRPr="00000000">
        <w:rPr>
          <w:sz w:val="28"/>
          <w:szCs w:val="28"/>
          <w:rtl w:val="0"/>
        </w:rPr>
        <w:t xml:space="preserve"> Convocar a universidades, colegios profesionales, organismos públicos, sindicatos, espacios académicos, organizaciones sociales y de derechos humanos a pronunciarse públicamente en el mismo sentido y a sostener acciones de incidencia política, institucional y comunicacional para impedir el avance de esta reforma.</w:t>
      </w:r>
    </w:p>
    <w:p w:rsidR="00000000" w:rsidDel="00000000" w:rsidP="00000000" w:rsidRDefault="00000000" w:rsidRPr="00000000" w14:paraId="00000034">
      <w:pPr>
        <w:spacing w:after="240" w:before="240" w:lineRule="auto"/>
        <w:jc w:val="both"/>
        <w:rPr>
          <w:sz w:val="28"/>
          <w:szCs w:val="28"/>
        </w:rPr>
      </w:pPr>
      <w:r w:rsidDel="00000000" w:rsidR="00000000" w:rsidRPr="00000000">
        <w:rPr>
          <w:b w:val="1"/>
          <w:bCs w:val="1"/>
          <w:sz w:val="28"/>
          <w:szCs w:val="28"/>
          <w:rtl w:val="0"/>
        </w:rPr>
        <w:t xml:space="preserve">Artículo 8°.-</w:t>
      </w:r>
      <w:r w:rsidDel="00000000" w:rsidR="00000000" w:rsidRPr="00000000">
        <w:rPr>
          <w:sz w:val="28"/>
          <w:szCs w:val="28"/>
          <w:rtl w:val="0"/>
        </w:rPr>
        <w:t xml:space="preserve"> Reafirmar el compromiso de esta Mesa con el fortalecimiento de políticas públicas basadas en evidencia, con el respeto irrestricto de los estándares internacionales de derechos humanos, con el derecho de todas las personas a una vida libre de violencias y con la consolidación de dispositivos especializados de prevención, protección, acompañamiento y acceso a la justicia.</w:t>
      </w:r>
    </w:p>
    <w:p w:rsidR="00000000" w:rsidDel="00000000" w:rsidP="00000000" w:rsidRDefault="00000000" w:rsidRPr="00000000" w14:paraId="00000035">
      <w:pPr>
        <w:spacing w:after="240" w:before="240" w:lineRule="auto"/>
        <w:jc w:val="both"/>
        <w:rPr>
          <w:sz w:val="28"/>
          <w:szCs w:val="28"/>
        </w:rPr>
      </w:pPr>
      <w:r w:rsidDel="00000000" w:rsidR="00000000" w:rsidRPr="00000000">
        <w:rPr>
          <w:b w:val="1"/>
          <w:bCs w:val="1"/>
          <w:sz w:val="28"/>
          <w:szCs w:val="28"/>
          <w:rtl w:val="0"/>
        </w:rPr>
        <w:t xml:space="preserve">Artículo 9°.-</w:t>
      </w:r>
      <w:r w:rsidDel="00000000" w:rsidR="00000000" w:rsidRPr="00000000">
        <w:rPr>
          <w:sz w:val="28"/>
          <w:szCs w:val="28"/>
          <w:rtl w:val="0"/>
        </w:rPr>
        <w:t xml:space="preserve"> Dejar establecido que suscriben el presente pronunciamiento las instituciones, áreas, organizaciones y espacios que participaron de la Mesa de Trabajo y Diálogo sobre Políticas de Género y que se consignan al pie del presente.</w:t>
      </w:r>
    </w:p>
    <w:p w:rsidR="00000000" w:rsidDel="00000000" w:rsidP="00000000" w:rsidRDefault="00000000" w:rsidRPr="00000000" w14:paraId="00000036">
      <w:pPr>
        <w:spacing w:after="240" w:before="240" w:lineRule="auto"/>
        <w:jc w:val="both"/>
        <w:rPr>
          <w:sz w:val="28"/>
          <w:szCs w:val="28"/>
        </w:rPr>
      </w:pPr>
      <w:r w:rsidDel="00000000" w:rsidR="00000000" w:rsidRPr="00000000">
        <w:rPr>
          <w:b w:val="1"/>
          <w:bCs w:val="1"/>
          <w:sz w:val="28"/>
          <w:szCs w:val="28"/>
          <w:rtl w:val="0"/>
        </w:rPr>
        <w:t xml:space="preserve">Artículo 10°.-</w:t>
      </w:r>
      <w:r w:rsidDel="00000000" w:rsidR="00000000" w:rsidRPr="00000000">
        <w:rPr>
          <w:sz w:val="28"/>
          <w:szCs w:val="28"/>
          <w:rtl w:val="0"/>
        </w:rPr>
        <w:t xml:space="preserve"> Hacer saber que podrán incorporarse adhesiones institucionales, académicas, profesionales, sindicales, sociales y comunitarias al presente pronunciamiento, las que serán registradas como tales sin alterar el texto aprobado.</w:t>
      </w:r>
    </w:p>
    <w:p w:rsidR="00000000" w:rsidDel="00000000" w:rsidP="00000000" w:rsidRDefault="00000000" w:rsidRPr="00000000" w14:paraId="00000037">
      <w:pPr>
        <w:spacing w:after="240" w:before="240" w:lineRule="auto"/>
        <w:jc w:val="both"/>
        <w:rPr>
          <w:sz w:val="28"/>
          <w:szCs w:val="28"/>
        </w:rPr>
      </w:pPr>
      <w:r w:rsidDel="00000000" w:rsidR="00000000" w:rsidRPr="00000000">
        <w:rPr>
          <w:b w:val="1"/>
          <w:bCs w:val="1"/>
          <w:sz w:val="28"/>
          <w:szCs w:val="28"/>
          <w:rtl w:val="0"/>
        </w:rPr>
        <w:t xml:space="preserve">Artículo 11°.-</w:t>
      </w:r>
      <w:r w:rsidDel="00000000" w:rsidR="00000000" w:rsidRPr="00000000">
        <w:rPr>
          <w:sz w:val="28"/>
          <w:szCs w:val="28"/>
          <w:rtl w:val="0"/>
        </w:rPr>
        <w:t xml:space="preserve"> Disponer la amplia difusión pública de la presente pronunciamiento y su remisión a la Honorable Congreso de la Nación Argentina, a legisladoras y legisladores nacionales y provinciales, a organismos públicos competentes, a universidades, colegios profesionales, organizaciones sociales y de derechos humanos, y a los medios de comunicación.</w:t>
      </w:r>
    </w:p>
    <w:p w:rsidR="00000000" w:rsidDel="00000000" w:rsidP="00000000" w:rsidRDefault="00000000" w:rsidRPr="00000000" w14:paraId="00000038">
      <w:pPr>
        <w:spacing w:after="240" w:before="240" w:lineRule="auto"/>
        <w:jc w:val="both"/>
        <w:rPr>
          <w:sz w:val="28"/>
          <w:szCs w:val="28"/>
        </w:rPr>
      </w:pPr>
      <w:r w:rsidDel="00000000" w:rsidR="00000000" w:rsidRPr="00000000">
        <w:rPr>
          <w:b w:val="1"/>
          <w:bCs w:val="1"/>
          <w:sz w:val="28"/>
          <w:szCs w:val="28"/>
          <w:rtl w:val="0"/>
        </w:rPr>
        <w:t xml:space="preserve">Artículo 12°.-</w:t>
      </w:r>
      <w:r w:rsidDel="00000000" w:rsidR="00000000" w:rsidRPr="00000000">
        <w:rPr>
          <w:sz w:val="28"/>
          <w:szCs w:val="28"/>
          <w:rtl w:val="0"/>
        </w:rPr>
        <w:t xml:space="preserve"> Comuníquese públicamente, dese a conocer por los canales institucionales y comunitarios pertinentes y archívese.</w:t>
      </w:r>
    </w:p>
    <w:p w:rsidR="00000000" w:rsidDel="00000000" w:rsidP="00000000" w:rsidRDefault="00000000" w:rsidRPr="00000000" w14:paraId="00000039">
      <w:pPr>
        <w:spacing w:after="240" w:before="240" w:lineRule="auto"/>
        <w:jc w:val="both"/>
        <w:rPr>
          <w:sz w:val="28"/>
          <w:szCs w:val="28"/>
          <w:highlight w:val="white"/>
        </w:rPr>
      </w:pPr>
      <w:r w:rsidDel="00000000" w:rsidR="00000000" w:rsidRPr="00000000">
        <w:rPr>
          <w:rtl w:val="0"/>
        </w:rPr>
      </w:r>
    </w:p>
    <w:p w:rsidR="00000000" w:rsidDel="00000000" w:rsidP="00000000" w:rsidRDefault="00000000" w:rsidRPr="00000000" w14:paraId="0000003A">
      <w:pPr>
        <w:spacing w:after="240" w:before="240" w:lineRule="auto"/>
        <w:jc w:val="both"/>
        <w:rPr>
          <w:sz w:val="28"/>
          <w:szCs w:val="28"/>
          <w:highlight w:val="white"/>
        </w:rPr>
      </w:pPr>
      <w:r w:rsidDel="00000000" w:rsidR="00000000" w:rsidRPr="00000000">
        <w:rPr>
          <w:sz w:val="28"/>
          <w:szCs w:val="28"/>
          <w:highlight w:val="white"/>
          <w:rtl w:val="0"/>
        </w:rPr>
        <w:t xml:space="preserve">Suscriben el presente pronunciamiento las instituciones convocantes, organismos públicos, universidades, facultades, colegios profesionales, organizaciones sindicales, organizaciones sociales y demás espacios que participaron de la Mesa de Trabajo y Diálogo sobre Políticas de Género y prestaron conformidad con su contenido.</w:t>
      </w:r>
    </w:p>
    <w:p w:rsidR="00000000" w:rsidDel="00000000" w:rsidP="00000000" w:rsidRDefault="00000000" w:rsidRPr="00000000" w14:paraId="0000003B">
      <w:pPr>
        <w:jc w:val="both"/>
        <w:rPr>
          <w:b w:val="1"/>
          <w:bCs w:val="1"/>
          <w:sz w:val="28"/>
          <w:szCs w:val="28"/>
          <w:highlight w:val="white"/>
        </w:rPr>
      </w:pPr>
      <w:r w:rsidDel="00000000" w:rsidR="00000000" w:rsidRPr="00000000">
        <w:rPr>
          <w:b w:val="1"/>
          <w:bCs w:val="1"/>
          <w:sz w:val="28"/>
          <w:szCs w:val="28"/>
          <w:highlight w:val="white"/>
          <w:rtl w:val="0"/>
        </w:rPr>
        <w:t xml:space="preserve">Instituciones, áreas y organizaciones que suscriben</w:t>
      </w:r>
    </w:p>
    <w:p w:rsidR="00000000" w:rsidDel="00000000" w:rsidP="00000000" w:rsidRDefault="00000000" w:rsidRPr="00000000" w14:paraId="0000003C">
      <w:pPr>
        <w:jc w:val="both"/>
        <w:rPr>
          <w:sz w:val="28"/>
          <w:szCs w:val="28"/>
          <w:highlight w:val="white"/>
        </w:rPr>
      </w:pPr>
      <w:r w:rsidDel="00000000" w:rsidR="00000000" w:rsidRPr="00000000">
        <w:rPr>
          <w:rtl w:val="0"/>
        </w:rPr>
      </w:r>
    </w:p>
    <w:p w:rsidR="00000000" w:rsidDel="00000000" w:rsidP="00000000" w:rsidRDefault="00000000" w:rsidRPr="00000000" w14:paraId="0000003D">
      <w:pPr>
        <w:jc w:val="both"/>
        <w:rPr>
          <w:sz w:val="28"/>
          <w:szCs w:val="28"/>
          <w:highlight w:val="white"/>
        </w:rPr>
      </w:pPr>
      <w:r w:rsidDel="00000000" w:rsidR="00000000" w:rsidRPr="00000000">
        <w:rPr>
          <w:b w:val="1"/>
          <w:bCs w:val="1"/>
          <w:sz w:val="28"/>
          <w:szCs w:val="28"/>
          <w:highlight w:val="white"/>
          <w:rtl w:val="0"/>
        </w:rPr>
        <w:t xml:space="preserve">Instituciones convocantes</w:t>
      </w:r>
      <w:r w:rsidDel="00000000" w:rsidR="00000000" w:rsidRPr="00000000">
        <w:rPr>
          <w:rtl w:val="0"/>
        </w:rPr>
      </w:r>
    </w:p>
    <w:p w:rsidR="00000000" w:rsidDel="00000000" w:rsidP="00000000" w:rsidRDefault="00000000" w:rsidRPr="00000000" w14:paraId="0000003E">
      <w:pPr>
        <w:numPr>
          <w:ilvl w:val="0"/>
          <w:numId w:val="2"/>
        </w:numPr>
        <w:ind w:left="720" w:hanging="360"/>
        <w:jc w:val="both"/>
        <w:rPr>
          <w:sz w:val="28"/>
          <w:szCs w:val="28"/>
          <w:highlight w:val="white"/>
        </w:rPr>
      </w:pPr>
      <w:r w:rsidDel="00000000" w:rsidR="00000000" w:rsidRPr="00000000">
        <w:rPr>
          <w:sz w:val="28"/>
          <w:szCs w:val="28"/>
          <w:highlight w:val="white"/>
          <w:rtl w:val="0"/>
        </w:rPr>
        <w:t xml:space="preserve">Secretaría de la Mujer del Gobierno de la Provincia de Córdoba</w:t>
      </w:r>
    </w:p>
    <w:p w:rsidR="00000000" w:rsidDel="00000000" w:rsidP="00000000" w:rsidRDefault="00000000" w:rsidRPr="00000000" w14:paraId="0000003F">
      <w:pPr>
        <w:numPr>
          <w:ilvl w:val="0"/>
          <w:numId w:val="2"/>
        </w:numPr>
        <w:ind w:left="720" w:hanging="360"/>
        <w:jc w:val="both"/>
        <w:rPr>
          <w:sz w:val="28"/>
          <w:szCs w:val="28"/>
          <w:highlight w:val="white"/>
        </w:rPr>
      </w:pPr>
      <w:r w:rsidDel="00000000" w:rsidR="00000000" w:rsidRPr="00000000">
        <w:rPr>
          <w:sz w:val="28"/>
          <w:szCs w:val="28"/>
          <w:highlight w:val="white"/>
          <w:rtl w:val="0"/>
        </w:rPr>
        <w:t xml:space="preserve">Vicerrectorado de la Universidad Nacional de Córdoba</w:t>
      </w:r>
    </w:p>
    <w:p w:rsidR="00000000" w:rsidDel="00000000" w:rsidP="00000000" w:rsidRDefault="00000000" w:rsidRPr="00000000" w14:paraId="00000040">
      <w:pPr>
        <w:numPr>
          <w:ilvl w:val="0"/>
          <w:numId w:val="2"/>
        </w:numPr>
        <w:ind w:left="720" w:hanging="360"/>
        <w:jc w:val="both"/>
        <w:rPr>
          <w:sz w:val="28"/>
          <w:szCs w:val="28"/>
          <w:highlight w:val="white"/>
        </w:rPr>
      </w:pPr>
      <w:r w:rsidDel="00000000" w:rsidR="00000000" w:rsidRPr="00000000">
        <w:rPr>
          <w:sz w:val="28"/>
          <w:szCs w:val="28"/>
          <w:highlight w:val="white"/>
          <w:rtl w:val="0"/>
        </w:rPr>
        <w:t xml:space="preserve">Unidad Central de Políticas de Género de la Universidad Nacional de Córdoba</w:t>
      </w:r>
    </w:p>
    <w:p w:rsidR="00000000" w:rsidDel="00000000" w:rsidP="00000000" w:rsidRDefault="00000000" w:rsidRPr="00000000" w14:paraId="00000041">
      <w:pPr>
        <w:jc w:val="both"/>
        <w:rPr>
          <w:sz w:val="28"/>
          <w:szCs w:val="28"/>
          <w:highlight w:val="white"/>
        </w:rPr>
      </w:pPr>
      <w:r w:rsidDel="00000000" w:rsidR="00000000" w:rsidRPr="00000000">
        <w:rPr>
          <w:rtl w:val="0"/>
        </w:rPr>
      </w:r>
    </w:p>
    <w:p w:rsidR="00000000" w:rsidDel="00000000" w:rsidP="00000000" w:rsidRDefault="00000000" w:rsidRPr="00000000" w14:paraId="00000042">
      <w:pPr>
        <w:jc w:val="both"/>
        <w:rPr>
          <w:sz w:val="28"/>
          <w:szCs w:val="28"/>
          <w:highlight w:val="white"/>
        </w:rPr>
      </w:pPr>
      <w:r w:rsidDel="00000000" w:rsidR="00000000" w:rsidRPr="00000000">
        <w:rPr>
          <w:b w:val="1"/>
          <w:bCs w:val="1"/>
          <w:sz w:val="28"/>
          <w:szCs w:val="28"/>
          <w:highlight w:val="white"/>
          <w:rtl w:val="0"/>
        </w:rPr>
        <w:t xml:space="preserve">Áreas e instituciones públicas, Universidades, facultades y espacios universitarios, Colegios profesionales, observatorios, sindicatos y organizaciones de la sociedad civil</w:t>
      </w:r>
      <w:r w:rsidDel="00000000" w:rsidR="00000000" w:rsidRPr="00000000">
        <w:rPr>
          <w:rtl w:val="0"/>
        </w:rPr>
      </w:r>
    </w:p>
    <w:p w:rsidR="00000000" w:rsidDel="00000000" w:rsidP="00000000" w:rsidRDefault="00000000" w:rsidRPr="00000000" w14:paraId="00000043">
      <w:pPr>
        <w:jc w:val="both"/>
        <w:rPr>
          <w:b w:val="1"/>
          <w:bCs w:val="1"/>
          <w:sz w:val="28"/>
          <w:szCs w:val="28"/>
          <w:highlight w:val="white"/>
        </w:rPr>
      </w:pPr>
      <w:r w:rsidDel="00000000" w:rsidR="00000000" w:rsidRPr="00000000">
        <w:rPr>
          <w:rtl w:val="0"/>
        </w:rPr>
      </w:r>
    </w:p>
    <w:p w:rsidR="00000000" w:rsidDel="00000000" w:rsidP="00000000" w:rsidRDefault="00000000" w:rsidRPr="00000000" w14:paraId="00000044">
      <w:pPr>
        <w:numPr>
          <w:ilvl w:val="0"/>
          <w:numId w:val="3"/>
        </w:numPr>
        <w:ind w:left="720" w:hanging="360"/>
        <w:jc w:val="both"/>
        <w:rPr>
          <w:sz w:val="28"/>
          <w:szCs w:val="28"/>
        </w:rPr>
      </w:pPr>
      <w:r w:rsidDel="00000000" w:rsidR="00000000" w:rsidRPr="00000000">
        <w:rPr>
          <w:sz w:val="28"/>
          <w:szCs w:val="28"/>
          <w:rtl w:val="0"/>
        </w:rPr>
        <w:t xml:space="preserve">Subsecretaría de Derechos Humanos, Mujeres, Géneros y Diversidades de la Municipalidad de Córdoba</w:t>
      </w:r>
    </w:p>
    <w:p w:rsidR="00000000" w:rsidDel="00000000" w:rsidP="00000000" w:rsidRDefault="00000000" w:rsidRPr="00000000" w14:paraId="00000045">
      <w:pPr>
        <w:numPr>
          <w:ilvl w:val="0"/>
          <w:numId w:val="3"/>
        </w:numPr>
        <w:ind w:left="720" w:hanging="360"/>
        <w:jc w:val="both"/>
        <w:rPr>
          <w:sz w:val="28"/>
          <w:szCs w:val="28"/>
          <w:highlight w:val="white"/>
        </w:rPr>
      </w:pPr>
      <w:r w:rsidDel="00000000" w:rsidR="00000000" w:rsidRPr="00000000">
        <w:rPr>
          <w:sz w:val="28"/>
          <w:szCs w:val="28"/>
          <w:highlight w:val="white"/>
          <w:rtl w:val="0"/>
        </w:rPr>
        <w:t xml:space="preserve">Legisladora Provincial Karen Acuña  </w:t>
      </w:r>
    </w:p>
    <w:p w:rsidR="00000000" w:rsidDel="00000000" w:rsidP="00000000" w:rsidRDefault="00000000" w:rsidRPr="00000000" w14:paraId="00000046">
      <w:pPr>
        <w:numPr>
          <w:ilvl w:val="0"/>
          <w:numId w:val="3"/>
        </w:numPr>
        <w:ind w:left="720" w:hanging="360"/>
        <w:jc w:val="both"/>
        <w:rPr>
          <w:sz w:val="28"/>
          <w:szCs w:val="28"/>
          <w:highlight w:val="white"/>
        </w:rPr>
      </w:pPr>
      <w:r w:rsidDel="00000000" w:rsidR="00000000" w:rsidRPr="00000000">
        <w:rPr>
          <w:sz w:val="28"/>
          <w:szCs w:val="28"/>
          <w:highlight w:val="white"/>
          <w:rtl w:val="0"/>
        </w:rPr>
        <w:t xml:space="preserve">Defensoría del Pueblo de la Provincia de Córdoba, a través de su Área de Género</w:t>
      </w:r>
    </w:p>
    <w:p w:rsidR="00000000" w:rsidDel="00000000" w:rsidP="00000000" w:rsidRDefault="00000000" w:rsidRPr="00000000" w14:paraId="00000047">
      <w:pPr>
        <w:numPr>
          <w:ilvl w:val="0"/>
          <w:numId w:val="3"/>
        </w:numPr>
        <w:ind w:left="720" w:hanging="360"/>
        <w:jc w:val="both"/>
        <w:rPr>
          <w:sz w:val="28"/>
          <w:szCs w:val="28"/>
          <w:highlight w:val="white"/>
        </w:rPr>
      </w:pPr>
      <w:r w:rsidDel="00000000" w:rsidR="00000000" w:rsidRPr="00000000">
        <w:rPr>
          <w:sz w:val="28"/>
          <w:szCs w:val="28"/>
          <w:highlight w:val="white"/>
          <w:rtl w:val="0"/>
        </w:rPr>
        <w:t xml:space="preserve">Dirección de Infancia y Adolescencia de la Municipalidad de Córdoba</w:t>
      </w:r>
    </w:p>
    <w:p w:rsidR="00000000" w:rsidDel="00000000" w:rsidP="00000000" w:rsidRDefault="00000000" w:rsidRPr="00000000" w14:paraId="00000048">
      <w:pPr>
        <w:numPr>
          <w:ilvl w:val="0"/>
          <w:numId w:val="4"/>
        </w:numPr>
        <w:ind w:left="720" w:hanging="360"/>
        <w:jc w:val="both"/>
        <w:rPr>
          <w:sz w:val="28"/>
          <w:szCs w:val="28"/>
          <w:highlight w:val="white"/>
        </w:rPr>
      </w:pPr>
      <w:r w:rsidDel="00000000" w:rsidR="00000000" w:rsidRPr="00000000">
        <w:rPr>
          <w:sz w:val="28"/>
          <w:szCs w:val="28"/>
          <w:highlight w:val="white"/>
          <w:rtl w:val="0"/>
        </w:rPr>
        <w:t xml:space="preserve">Universidad Nacional de Villa María</w:t>
      </w:r>
    </w:p>
    <w:p w:rsidR="00000000" w:rsidDel="00000000" w:rsidP="00000000" w:rsidRDefault="00000000" w:rsidRPr="00000000" w14:paraId="00000049">
      <w:pPr>
        <w:numPr>
          <w:ilvl w:val="0"/>
          <w:numId w:val="4"/>
        </w:numPr>
        <w:ind w:left="720" w:hanging="360"/>
        <w:jc w:val="both"/>
        <w:rPr>
          <w:sz w:val="28"/>
          <w:szCs w:val="28"/>
        </w:rPr>
      </w:pPr>
      <w:r w:rsidDel="00000000" w:rsidR="00000000" w:rsidRPr="00000000">
        <w:rPr>
          <w:sz w:val="28"/>
          <w:szCs w:val="28"/>
          <w:rtl w:val="0"/>
        </w:rPr>
        <w:t xml:space="preserve">Unidad de Género y Diversidad Facultad Regional Córdoba de la UTN</w:t>
      </w:r>
    </w:p>
    <w:p w:rsidR="00000000" w:rsidDel="00000000" w:rsidP="00000000" w:rsidRDefault="00000000" w:rsidRPr="00000000" w14:paraId="0000004A">
      <w:pPr>
        <w:numPr>
          <w:ilvl w:val="0"/>
          <w:numId w:val="4"/>
        </w:numPr>
        <w:ind w:left="720" w:hanging="360"/>
        <w:jc w:val="both"/>
        <w:rPr>
          <w:sz w:val="28"/>
          <w:szCs w:val="28"/>
        </w:rPr>
      </w:pPr>
      <w:r w:rsidDel="00000000" w:rsidR="00000000" w:rsidRPr="00000000">
        <w:rPr>
          <w:sz w:val="28"/>
          <w:szCs w:val="28"/>
          <w:rtl w:val="0"/>
        </w:rPr>
        <w:t xml:space="preserve">Facultad de Ciencias Exactas, Físicas y Naturales UNC</w:t>
      </w:r>
    </w:p>
    <w:p w:rsidR="00000000" w:rsidDel="00000000" w:rsidP="00000000" w:rsidRDefault="00000000" w:rsidRPr="00000000" w14:paraId="0000004B">
      <w:pPr>
        <w:numPr>
          <w:ilvl w:val="0"/>
          <w:numId w:val="4"/>
        </w:numPr>
        <w:ind w:left="720" w:hanging="360"/>
        <w:jc w:val="both"/>
        <w:rPr>
          <w:sz w:val="28"/>
          <w:szCs w:val="28"/>
        </w:rPr>
      </w:pPr>
      <w:r w:rsidDel="00000000" w:rsidR="00000000" w:rsidRPr="00000000">
        <w:rPr>
          <w:sz w:val="28"/>
          <w:szCs w:val="28"/>
          <w:rtl w:val="0"/>
        </w:rPr>
        <w:t xml:space="preserve">Centro Científico Tecnológico (CCT) CONICET Córdoba</w:t>
      </w:r>
    </w:p>
    <w:p w:rsidR="00000000" w:rsidDel="00000000" w:rsidP="00000000" w:rsidRDefault="00000000" w:rsidRPr="00000000" w14:paraId="0000004C">
      <w:pPr>
        <w:numPr>
          <w:ilvl w:val="0"/>
          <w:numId w:val="4"/>
        </w:numPr>
        <w:ind w:left="720" w:hanging="360"/>
        <w:jc w:val="both"/>
        <w:rPr>
          <w:sz w:val="28"/>
          <w:szCs w:val="28"/>
        </w:rPr>
      </w:pPr>
      <w:r w:rsidDel="00000000" w:rsidR="00000000" w:rsidRPr="00000000">
        <w:rPr>
          <w:sz w:val="28"/>
          <w:szCs w:val="28"/>
          <w:rtl w:val="0"/>
        </w:rPr>
        <w:t xml:space="preserve">Defensoría de la Comunidad Universitaria UNC</w:t>
      </w:r>
    </w:p>
    <w:p w:rsidR="00000000" w:rsidDel="00000000" w:rsidP="00000000" w:rsidRDefault="00000000" w:rsidRPr="00000000" w14:paraId="0000004D">
      <w:pPr>
        <w:numPr>
          <w:ilvl w:val="0"/>
          <w:numId w:val="4"/>
        </w:numPr>
        <w:ind w:left="720" w:hanging="360"/>
        <w:jc w:val="both"/>
        <w:rPr>
          <w:sz w:val="28"/>
          <w:szCs w:val="28"/>
        </w:rPr>
      </w:pPr>
      <w:r w:rsidDel="00000000" w:rsidR="00000000" w:rsidRPr="00000000">
        <w:rPr>
          <w:sz w:val="28"/>
          <w:szCs w:val="28"/>
          <w:rtl w:val="0"/>
        </w:rPr>
        <w:t xml:space="preserve">NODO Mujeres de Campus Norte de la UNC</w:t>
      </w:r>
      <w:r w:rsidDel="00000000" w:rsidR="00000000" w:rsidRPr="00000000">
        <w:rPr>
          <w:rtl w:val="0"/>
        </w:rPr>
      </w:r>
    </w:p>
    <w:p w:rsidR="00000000" w:rsidDel="00000000" w:rsidP="00000000" w:rsidRDefault="00000000" w:rsidRPr="00000000" w14:paraId="0000004E">
      <w:pPr>
        <w:numPr>
          <w:ilvl w:val="0"/>
          <w:numId w:val="1"/>
        </w:numPr>
        <w:ind w:left="720" w:hanging="360"/>
        <w:jc w:val="both"/>
        <w:rPr>
          <w:sz w:val="28"/>
          <w:szCs w:val="28"/>
          <w:highlight w:val="white"/>
        </w:rPr>
      </w:pPr>
      <w:r w:rsidDel="00000000" w:rsidR="00000000" w:rsidRPr="00000000">
        <w:rPr>
          <w:sz w:val="28"/>
          <w:szCs w:val="28"/>
          <w:highlight w:val="white"/>
          <w:rtl w:val="0"/>
        </w:rPr>
        <w:t xml:space="preserve">Colegio de Profesionales en Trabajo Social de la Provincia de Córdoba</w:t>
      </w:r>
    </w:p>
    <w:p w:rsidR="00000000" w:rsidDel="00000000" w:rsidP="00000000" w:rsidRDefault="00000000" w:rsidRPr="00000000" w14:paraId="0000004F">
      <w:pPr>
        <w:numPr>
          <w:ilvl w:val="0"/>
          <w:numId w:val="1"/>
        </w:numPr>
        <w:ind w:left="720" w:hanging="360"/>
        <w:jc w:val="both"/>
        <w:rPr>
          <w:sz w:val="28"/>
          <w:szCs w:val="28"/>
          <w:highlight w:val="white"/>
        </w:rPr>
      </w:pPr>
      <w:r w:rsidDel="00000000" w:rsidR="00000000" w:rsidRPr="00000000">
        <w:rPr>
          <w:sz w:val="28"/>
          <w:szCs w:val="28"/>
          <w:highlight w:val="white"/>
          <w:rtl w:val="0"/>
        </w:rPr>
        <w:t xml:space="preserve">Escuela de Fonoaudiología Facultad de Ciencias Médicas</w:t>
      </w:r>
    </w:p>
    <w:p w:rsidR="00000000" w:rsidDel="00000000" w:rsidP="00000000" w:rsidRDefault="00000000" w:rsidRPr="00000000" w14:paraId="00000050">
      <w:pPr>
        <w:numPr>
          <w:ilvl w:val="0"/>
          <w:numId w:val="1"/>
        </w:numPr>
        <w:ind w:left="720" w:hanging="360"/>
        <w:jc w:val="both"/>
        <w:rPr>
          <w:sz w:val="28"/>
          <w:szCs w:val="28"/>
          <w:highlight w:val="white"/>
        </w:rPr>
      </w:pPr>
      <w:r w:rsidDel="00000000" w:rsidR="00000000" w:rsidRPr="00000000">
        <w:rPr>
          <w:sz w:val="28"/>
          <w:szCs w:val="28"/>
          <w:highlight w:val="white"/>
          <w:rtl w:val="0"/>
        </w:rPr>
        <w:t xml:space="preserve">Observatorio Nacional MuMaLa</w:t>
      </w:r>
    </w:p>
    <w:p w:rsidR="00000000" w:rsidDel="00000000" w:rsidP="00000000" w:rsidRDefault="00000000" w:rsidRPr="00000000" w14:paraId="00000051">
      <w:pPr>
        <w:numPr>
          <w:ilvl w:val="0"/>
          <w:numId w:val="1"/>
        </w:numPr>
        <w:ind w:left="720" w:hanging="360"/>
        <w:jc w:val="both"/>
        <w:rPr>
          <w:sz w:val="28"/>
          <w:szCs w:val="28"/>
          <w:highlight w:val="white"/>
        </w:rPr>
      </w:pPr>
      <w:r w:rsidDel="00000000" w:rsidR="00000000" w:rsidRPr="00000000">
        <w:rPr>
          <w:sz w:val="28"/>
          <w:szCs w:val="28"/>
          <w:highlight w:val="white"/>
          <w:rtl w:val="0"/>
        </w:rPr>
        <w:t xml:space="preserve">CISCSA - Ciudades Feministas</w:t>
      </w:r>
    </w:p>
    <w:p w:rsidR="00000000" w:rsidDel="00000000" w:rsidP="00000000" w:rsidRDefault="00000000" w:rsidRPr="00000000" w14:paraId="00000052">
      <w:pPr>
        <w:numPr>
          <w:ilvl w:val="0"/>
          <w:numId w:val="1"/>
        </w:numPr>
        <w:ind w:left="720" w:hanging="360"/>
        <w:jc w:val="both"/>
        <w:rPr>
          <w:sz w:val="28"/>
          <w:szCs w:val="28"/>
          <w:highlight w:val="white"/>
        </w:rPr>
      </w:pPr>
      <w:r w:rsidDel="00000000" w:rsidR="00000000" w:rsidRPr="00000000">
        <w:rPr>
          <w:sz w:val="28"/>
          <w:szCs w:val="28"/>
          <w:highlight w:val="white"/>
          <w:rtl w:val="0"/>
        </w:rPr>
        <w:t xml:space="preserve">El Telar Asociación Civil</w:t>
      </w:r>
    </w:p>
    <w:p w:rsidR="00000000" w:rsidDel="00000000" w:rsidP="00000000" w:rsidRDefault="00000000" w:rsidRPr="00000000" w14:paraId="00000053">
      <w:pPr>
        <w:numPr>
          <w:ilvl w:val="0"/>
          <w:numId w:val="1"/>
        </w:numPr>
        <w:ind w:left="720" w:hanging="360"/>
        <w:jc w:val="both"/>
        <w:rPr>
          <w:sz w:val="28"/>
          <w:szCs w:val="28"/>
          <w:highlight w:val="white"/>
        </w:rPr>
      </w:pPr>
      <w:r w:rsidDel="00000000" w:rsidR="00000000" w:rsidRPr="00000000">
        <w:rPr>
          <w:sz w:val="28"/>
          <w:szCs w:val="28"/>
          <w:highlight w:val="white"/>
          <w:rtl w:val="0"/>
        </w:rPr>
        <w:t xml:space="preserve">Fundación para el Desarrollo de Políticas Sustentables - FUNDEPS</w:t>
      </w:r>
    </w:p>
    <w:p w:rsidR="00000000" w:rsidDel="00000000" w:rsidP="00000000" w:rsidRDefault="00000000" w:rsidRPr="00000000" w14:paraId="00000054">
      <w:pPr>
        <w:numPr>
          <w:ilvl w:val="0"/>
          <w:numId w:val="1"/>
        </w:numPr>
        <w:ind w:left="720" w:hanging="360"/>
        <w:jc w:val="both"/>
        <w:rPr>
          <w:sz w:val="28"/>
          <w:szCs w:val="28"/>
          <w:highlight w:val="white"/>
        </w:rPr>
      </w:pPr>
      <w:r w:rsidDel="00000000" w:rsidR="00000000" w:rsidRPr="00000000">
        <w:rPr>
          <w:sz w:val="28"/>
          <w:szCs w:val="28"/>
          <w:highlight w:val="white"/>
          <w:rtl w:val="0"/>
        </w:rPr>
        <w:t xml:space="preserve">Asociación de Trabajadores del Estado ATE</w:t>
      </w:r>
    </w:p>
    <w:p w:rsidR="00000000" w:rsidDel="00000000" w:rsidP="00000000" w:rsidRDefault="00000000" w:rsidRPr="00000000" w14:paraId="00000055">
      <w:pPr>
        <w:numPr>
          <w:ilvl w:val="0"/>
          <w:numId w:val="1"/>
        </w:numPr>
        <w:ind w:left="720" w:hanging="360"/>
        <w:jc w:val="both"/>
        <w:rPr>
          <w:sz w:val="28"/>
          <w:szCs w:val="28"/>
          <w:highlight w:val="white"/>
        </w:rPr>
      </w:pPr>
      <w:r w:rsidDel="00000000" w:rsidR="00000000" w:rsidRPr="00000000">
        <w:rPr>
          <w:sz w:val="28"/>
          <w:szCs w:val="28"/>
          <w:highlight w:val="white"/>
          <w:rtl w:val="0"/>
        </w:rPr>
        <w:t xml:space="preserve">Mujeres en Marcha</w:t>
      </w:r>
    </w:p>
    <w:p w:rsidR="00000000" w:rsidDel="00000000" w:rsidP="00000000" w:rsidRDefault="00000000" w:rsidRPr="00000000" w14:paraId="00000056">
      <w:pPr>
        <w:numPr>
          <w:ilvl w:val="0"/>
          <w:numId w:val="1"/>
        </w:numPr>
        <w:ind w:left="720" w:hanging="360"/>
        <w:jc w:val="both"/>
        <w:rPr>
          <w:sz w:val="28"/>
          <w:szCs w:val="28"/>
          <w:highlight w:val="white"/>
          <w:u w:val="none"/>
        </w:rPr>
      </w:pPr>
      <w:r w:rsidDel="00000000" w:rsidR="00000000" w:rsidRPr="00000000">
        <w:rPr>
          <w:sz w:val="28"/>
          <w:szCs w:val="28"/>
          <w:highlight w:val="white"/>
          <w:rtl w:val="0"/>
        </w:rPr>
        <w:t xml:space="preserve">Católicas por el Derecho a Decidir</w:t>
      </w:r>
    </w:p>
    <w:p w:rsidR="00000000" w:rsidDel="00000000" w:rsidP="00000000" w:rsidRDefault="00000000" w:rsidRPr="00000000" w14:paraId="00000057">
      <w:pPr>
        <w:numPr>
          <w:ilvl w:val="0"/>
          <w:numId w:val="1"/>
        </w:numPr>
        <w:ind w:left="720" w:hanging="360"/>
        <w:jc w:val="both"/>
        <w:rPr>
          <w:sz w:val="28"/>
          <w:szCs w:val="28"/>
          <w:highlight w:val="white"/>
          <w:u w:val="none"/>
        </w:rPr>
      </w:pPr>
      <w:r w:rsidDel="00000000" w:rsidR="00000000" w:rsidRPr="00000000">
        <w:rPr>
          <w:sz w:val="28"/>
          <w:szCs w:val="28"/>
          <w:highlight w:val="white"/>
          <w:rtl w:val="0"/>
        </w:rPr>
        <w:t xml:space="preserve">Lxs Irrompibles Córdoba</w:t>
      </w:r>
    </w:p>
    <w:p w:rsidR="00000000" w:rsidDel="00000000" w:rsidP="00000000" w:rsidRDefault="00000000" w:rsidRPr="00000000" w14:paraId="00000058">
      <w:pPr>
        <w:numPr>
          <w:ilvl w:val="0"/>
          <w:numId w:val="1"/>
        </w:numPr>
        <w:ind w:left="720" w:hanging="360"/>
        <w:jc w:val="both"/>
        <w:rPr>
          <w:sz w:val="28"/>
          <w:szCs w:val="28"/>
          <w:highlight w:val="white"/>
          <w:u w:val="none"/>
        </w:rPr>
      </w:pPr>
      <w:r w:rsidDel="00000000" w:rsidR="00000000" w:rsidRPr="00000000">
        <w:rPr>
          <w:sz w:val="28"/>
          <w:szCs w:val="28"/>
          <w:highlight w:val="white"/>
          <w:rtl w:val="0"/>
        </w:rPr>
        <w:t xml:space="preserve">Sororidad y Fe</w:t>
      </w:r>
    </w:p>
    <w:p w:rsidR="00000000" w:rsidDel="00000000" w:rsidP="00000000" w:rsidRDefault="00000000" w:rsidRPr="00000000" w14:paraId="00000059">
      <w:pPr>
        <w:numPr>
          <w:ilvl w:val="0"/>
          <w:numId w:val="1"/>
        </w:numPr>
        <w:ind w:left="720" w:hanging="360"/>
        <w:jc w:val="both"/>
        <w:rPr>
          <w:sz w:val="28"/>
          <w:szCs w:val="28"/>
          <w:highlight w:val="white"/>
          <w:u w:val="none"/>
        </w:rPr>
      </w:pPr>
      <w:r w:rsidDel="00000000" w:rsidR="00000000" w:rsidRPr="00000000">
        <w:rPr>
          <w:sz w:val="28"/>
          <w:szCs w:val="28"/>
          <w:highlight w:val="white"/>
          <w:rtl w:val="0"/>
        </w:rPr>
        <w:t xml:space="preserve">Fundación Hilando Relatos</w:t>
      </w:r>
    </w:p>
    <w:p w:rsidR="00000000" w:rsidDel="00000000" w:rsidP="00000000" w:rsidRDefault="00000000" w:rsidRPr="00000000" w14:paraId="0000005A">
      <w:pPr>
        <w:numPr>
          <w:ilvl w:val="0"/>
          <w:numId w:val="1"/>
        </w:numPr>
        <w:ind w:left="720" w:hanging="360"/>
        <w:jc w:val="both"/>
        <w:rPr>
          <w:sz w:val="28"/>
          <w:szCs w:val="28"/>
          <w:highlight w:val="white"/>
          <w:u w:val="none"/>
        </w:rPr>
      </w:pPr>
      <w:r w:rsidDel="00000000" w:rsidR="00000000" w:rsidRPr="00000000">
        <w:rPr>
          <w:sz w:val="28"/>
          <w:szCs w:val="28"/>
          <w:highlight w:val="white"/>
          <w:rtl w:val="0"/>
        </w:rPr>
        <w:t xml:space="preserve">Feministas de Paravachasca</w:t>
      </w:r>
    </w:p>
    <w:p w:rsidR="00000000" w:rsidDel="00000000" w:rsidP="00000000" w:rsidRDefault="00000000" w:rsidRPr="00000000" w14:paraId="0000005B">
      <w:pPr>
        <w:numPr>
          <w:ilvl w:val="0"/>
          <w:numId w:val="1"/>
        </w:numPr>
        <w:ind w:left="720" w:hanging="360"/>
        <w:jc w:val="both"/>
        <w:rPr>
          <w:sz w:val="28"/>
          <w:szCs w:val="28"/>
          <w:highlight w:val="white"/>
          <w:u w:val="none"/>
        </w:rPr>
      </w:pPr>
      <w:r w:rsidDel="00000000" w:rsidR="00000000" w:rsidRPr="00000000">
        <w:rPr>
          <w:sz w:val="28"/>
          <w:szCs w:val="28"/>
          <w:highlight w:val="white"/>
          <w:rtl w:val="0"/>
        </w:rPr>
        <w:t xml:space="preserve">Fundación Vivir Libres </w:t>
      </w:r>
    </w:p>
    <w:p w:rsidR="00000000" w:rsidDel="00000000" w:rsidP="00000000" w:rsidRDefault="00000000" w:rsidRPr="00000000" w14:paraId="0000005C">
      <w:pPr>
        <w:numPr>
          <w:ilvl w:val="0"/>
          <w:numId w:val="1"/>
        </w:numPr>
        <w:ind w:left="720" w:hanging="360"/>
        <w:jc w:val="both"/>
        <w:rPr>
          <w:sz w:val="28"/>
          <w:szCs w:val="28"/>
          <w:highlight w:val="white"/>
          <w:u w:val="none"/>
        </w:rPr>
      </w:pPr>
      <w:r w:rsidDel="00000000" w:rsidR="00000000" w:rsidRPr="00000000">
        <w:rPr>
          <w:sz w:val="28"/>
          <w:szCs w:val="28"/>
          <w:highlight w:val="white"/>
          <w:rtl w:val="0"/>
        </w:rPr>
        <w:t xml:space="preserve">Incidencia Feminista</w:t>
      </w:r>
    </w:p>
    <w:p w:rsidR="00000000" w:rsidDel="00000000" w:rsidP="00000000" w:rsidRDefault="00000000" w:rsidRPr="00000000" w14:paraId="0000005D">
      <w:pPr>
        <w:numPr>
          <w:ilvl w:val="0"/>
          <w:numId w:val="1"/>
        </w:numPr>
        <w:ind w:left="720" w:hanging="360"/>
        <w:jc w:val="both"/>
        <w:rPr>
          <w:sz w:val="28"/>
          <w:szCs w:val="28"/>
          <w:highlight w:val="white"/>
          <w:u w:val="none"/>
        </w:rPr>
      </w:pPr>
      <w:r w:rsidDel="00000000" w:rsidR="00000000" w:rsidRPr="00000000">
        <w:rPr>
          <w:sz w:val="28"/>
          <w:szCs w:val="28"/>
          <w:highlight w:val="white"/>
          <w:rtl w:val="0"/>
        </w:rPr>
        <w:t xml:space="preserve">Enlazamundos Teatro de títeres y marionetas</w:t>
      </w:r>
    </w:p>
    <w:p w:rsidR="00000000" w:rsidDel="00000000" w:rsidP="00000000" w:rsidRDefault="00000000" w:rsidRPr="00000000" w14:paraId="0000005E">
      <w:pPr>
        <w:numPr>
          <w:ilvl w:val="0"/>
          <w:numId w:val="1"/>
        </w:numPr>
        <w:ind w:left="720" w:hanging="360"/>
        <w:jc w:val="both"/>
        <w:rPr>
          <w:sz w:val="28"/>
          <w:szCs w:val="28"/>
          <w:highlight w:val="white"/>
          <w:u w:val="none"/>
        </w:rPr>
      </w:pPr>
      <w:r w:rsidDel="00000000" w:rsidR="00000000" w:rsidRPr="00000000">
        <w:rPr>
          <w:sz w:val="28"/>
          <w:szCs w:val="28"/>
          <w:highlight w:val="white"/>
          <w:rtl w:val="0"/>
        </w:rPr>
        <w:t xml:space="preserve">Área de Feminismos, Género y Sexualidades. CIFFyH. UNC</w:t>
      </w:r>
    </w:p>
    <w:p w:rsidR="00000000" w:rsidDel="00000000" w:rsidP="00000000" w:rsidRDefault="00000000" w:rsidRPr="00000000" w14:paraId="0000005F">
      <w:pPr>
        <w:numPr>
          <w:ilvl w:val="0"/>
          <w:numId w:val="1"/>
        </w:numPr>
        <w:ind w:left="720" w:hanging="360"/>
        <w:jc w:val="both"/>
        <w:rPr>
          <w:sz w:val="28"/>
          <w:szCs w:val="28"/>
          <w:highlight w:val="white"/>
          <w:u w:val="none"/>
        </w:rPr>
      </w:pPr>
      <w:r w:rsidDel="00000000" w:rsidR="00000000" w:rsidRPr="00000000">
        <w:rPr>
          <w:sz w:val="28"/>
          <w:szCs w:val="28"/>
          <w:highlight w:val="white"/>
          <w:rtl w:val="0"/>
        </w:rPr>
        <w:t xml:space="preserve">Facultad de Ciencias Químicas. Universidad Nacional de Cordoba. </w:t>
      </w:r>
    </w:p>
    <w:p w:rsidR="00000000" w:rsidDel="00000000" w:rsidP="00000000" w:rsidRDefault="00000000" w:rsidRPr="00000000" w14:paraId="00000060">
      <w:pPr>
        <w:numPr>
          <w:ilvl w:val="0"/>
          <w:numId w:val="1"/>
        </w:numPr>
        <w:ind w:left="720" w:hanging="360"/>
        <w:jc w:val="both"/>
        <w:rPr>
          <w:sz w:val="28"/>
          <w:szCs w:val="28"/>
          <w:highlight w:val="white"/>
          <w:u w:val="none"/>
        </w:rPr>
      </w:pPr>
      <w:r w:rsidDel="00000000" w:rsidR="00000000" w:rsidRPr="00000000">
        <w:rPr>
          <w:sz w:val="28"/>
          <w:szCs w:val="28"/>
          <w:highlight w:val="white"/>
          <w:rtl w:val="0"/>
        </w:rPr>
        <w:t xml:space="preserve">Consejo Municipal de Genero Rio Cuarto</w:t>
      </w:r>
    </w:p>
    <w:p w:rsidR="00000000" w:rsidDel="00000000" w:rsidP="00000000" w:rsidRDefault="00000000" w:rsidRPr="00000000" w14:paraId="00000061">
      <w:pPr>
        <w:numPr>
          <w:ilvl w:val="0"/>
          <w:numId w:val="1"/>
        </w:numPr>
        <w:ind w:left="720" w:hanging="360"/>
        <w:jc w:val="both"/>
        <w:rPr>
          <w:sz w:val="28"/>
          <w:szCs w:val="28"/>
          <w:highlight w:val="white"/>
          <w:u w:val="none"/>
        </w:rPr>
      </w:pPr>
      <w:r w:rsidDel="00000000" w:rsidR="00000000" w:rsidRPr="00000000">
        <w:rPr>
          <w:sz w:val="28"/>
          <w:szCs w:val="28"/>
          <w:highlight w:val="white"/>
          <w:rtl w:val="0"/>
        </w:rPr>
        <w:t xml:space="preserve">Grupa Transfeminista de Filosofía UNRC</w:t>
      </w:r>
    </w:p>
    <w:p w:rsidR="00000000" w:rsidDel="00000000" w:rsidP="00000000" w:rsidRDefault="00000000" w:rsidRPr="00000000" w14:paraId="00000062">
      <w:pPr>
        <w:jc w:val="both"/>
        <w:rPr>
          <w:sz w:val="28"/>
          <w:szCs w:val="28"/>
          <w:highlight w:val="white"/>
        </w:rPr>
      </w:pPr>
      <w:r w:rsidDel="00000000" w:rsidR="00000000" w:rsidRPr="00000000">
        <w:rPr>
          <w:rtl w:val="0"/>
        </w:rPr>
      </w:r>
    </w:p>
    <w:p w:rsidR="00000000" w:rsidDel="00000000" w:rsidP="00000000" w:rsidRDefault="00000000" w:rsidRPr="00000000" w14:paraId="00000063">
      <w:pPr>
        <w:jc w:val="both"/>
        <w:rPr>
          <w:sz w:val="28"/>
          <w:szCs w:val="28"/>
          <w:highlight w:val="white"/>
        </w:rPr>
      </w:pPr>
      <w:r w:rsidDel="00000000" w:rsidR="00000000" w:rsidRPr="00000000">
        <w:rPr>
          <w:rtl w:val="0"/>
        </w:rPr>
      </w:r>
    </w:p>
    <w:p w:rsidR="00000000" w:rsidDel="00000000" w:rsidP="00000000" w:rsidRDefault="00000000" w:rsidRPr="00000000" w14:paraId="00000064">
      <w:pPr>
        <w:rPr>
          <w:highlight w:val="white"/>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spacing w:after="240" w:before="240" w:line="240" w:lineRule="auto"/>
        <w:ind w:firstLine="2834.645669291339"/>
        <w:jc w:val="both"/>
        <w:rPr>
          <w:rFonts w:ascii="Barlow" w:cs="Barlow" w:eastAsia="Barlow" w:hAnsi="Barlow"/>
          <w:sz w:val="26"/>
          <w:szCs w:val="26"/>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Barl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tabs>
        <w:tab w:val="center" w:leader="none" w:pos="4252"/>
        <w:tab w:val="right" w:leader="none" w:pos="8504"/>
      </w:tabs>
      <w:spacing w:line="240" w:lineRule="auto"/>
      <w:jc w:val="center"/>
      <w:rPr/>
    </w:pPr>
    <w:r w:rsidDel="00000000" w:rsidR="00000000" w:rsidRPr="00000000">
      <w:rPr>
        <w:rFonts w:ascii="Calibri" w:cs="Calibri" w:eastAsia="Calibri" w:hAnsi="Calibri"/>
      </w:rPr>
      <w:drawing>
        <wp:inline distB="114300" distT="114300" distL="114300" distR="114300">
          <wp:extent cx="1825462" cy="695325"/>
          <wp:effectExtent b="0" l="0" r="0" t="0"/>
          <wp:docPr id="1" name="image1.png"/>
          <a:graphic>
            <a:graphicData uri="http://schemas.openxmlformats.org/drawingml/2006/picture">
              <pic:pic>
                <pic:nvPicPr>
                  <pic:cNvPr id="0" name="image1.png"/>
                  <pic:cNvPicPr preferRelativeResize="0"/>
                </pic:nvPicPr>
                <pic:blipFill>
                  <a:blip r:embed="rId1"/>
                  <a:srcRect b="39823" l="3845" r="64328" t="38643"/>
                  <a:stretch>
                    <a:fillRect/>
                  </a:stretch>
                </pic:blipFill>
                <pic:spPr>
                  <a:xfrm>
                    <a:off x="0" y="0"/>
                    <a:ext cx="1825462" cy="695325"/>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tabs>
        <w:tab w:val="center" w:leader="none" w:pos="4252"/>
        <w:tab w:val="right" w:leader="none" w:pos="8504"/>
      </w:tabs>
      <w:spacing w:line="240"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Barlow-regular.ttf"/><Relationship Id="rId2" Type="http://schemas.openxmlformats.org/officeDocument/2006/relationships/font" Target="fonts/Barlow-bold.ttf"/><Relationship Id="rId3" Type="http://schemas.openxmlformats.org/officeDocument/2006/relationships/font" Target="fonts/Barlow-italic.ttf"/><Relationship Id="rId4" Type="http://schemas.openxmlformats.org/officeDocument/2006/relationships/font" Target="fonts/Barlow-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